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6A" w:rsidRPr="004C2874" w:rsidRDefault="002B426A" w:rsidP="002B426A">
      <w:pPr>
        <w:spacing w:line="360" w:lineRule="auto"/>
        <w:jc w:val="right"/>
        <w:rPr>
          <w:b/>
          <w:u w:val="single"/>
          <w:lang w:val="pt-PT"/>
        </w:rPr>
      </w:pPr>
      <w:r w:rsidRPr="004C2874">
        <w:rPr>
          <w:b/>
          <w:u w:val="single"/>
          <w:lang w:val="pt-PT"/>
        </w:rPr>
        <w:t>TRADUÇÃO DO FOLHETO</w:t>
      </w:r>
    </w:p>
    <w:p w:rsidR="002657C4" w:rsidRPr="004C2874" w:rsidRDefault="002657C4" w:rsidP="00691C38">
      <w:pPr>
        <w:spacing w:line="360" w:lineRule="auto"/>
        <w:rPr>
          <w:b/>
          <w:lang w:val="pt-PT"/>
        </w:rPr>
      </w:pPr>
    </w:p>
    <w:p w:rsidR="002657C4" w:rsidRPr="002C1E98" w:rsidRDefault="002C1E98" w:rsidP="00691C38">
      <w:pPr>
        <w:spacing w:line="360" w:lineRule="auto"/>
        <w:rPr>
          <w:lang w:val="pt-PT"/>
        </w:rPr>
      </w:pPr>
      <w:r>
        <w:rPr>
          <w:lang w:val="pt-PT"/>
        </w:rPr>
        <w:t xml:space="preserve"> </w:t>
      </w:r>
    </w:p>
    <w:p w:rsidR="008E73F3" w:rsidRPr="00BB6655" w:rsidRDefault="008E73F3" w:rsidP="008E73F3">
      <w:pPr>
        <w:jc w:val="center"/>
      </w:pPr>
      <w:r w:rsidRPr="00BB6655">
        <w:rPr>
          <w:sz w:val="48"/>
        </w:rPr>
        <w:t>A</w:t>
      </w:r>
      <w:r w:rsidRPr="00B40D71">
        <w:rPr>
          <w:sz w:val="36"/>
        </w:rPr>
        <w:t xml:space="preserve">nalysis </w:t>
      </w:r>
      <w:r w:rsidRPr="00BB6655">
        <w:rPr>
          <w:sz w:val="48"/>
        </w:rPr>
        <w:t>S</w:t>
      </w:r>
      <w:r w:rsidRPr="00B40D71">
        <w:rPr>
          <w:sz w:val="36"/>
        </w:rPr>
        <w:t xml:space="preserve">ystem for </w:t>
      </w:r>
      <w:r w:rsidRPr="00716ECB">
        <w:rPr>
          <w:sz w:val="48"/>
          <w:szCs w:val="48"/>
        </w:rPr>
        <w:t>G</w:t>
      </w:r>
      <w:r>
        <w:rPr>
          <w:sz w:val="36"/>
          <w:szCs w:val="36"/>
        </w:rPr>
        <w:t>a</w:t>
      </w:r>
      <w:r w:rsidRPr="00716ECB">
        <w:rPr>
          <w:sz w:val="36"/>
          <w:szCs w:val="36"/>
        </w:rPr>
        <w:t>thered</w:t>
      </w:r>
      <w:r w:rsidRPr="00B40D71">
        <w:rPr>
          <w:sz w:val="36"/>
        </w:rPr>
        <w:t xml:space="preserve"> </w:t>
      </w:r>
      <w:r w:rsidRPr="00BB6655">
        <w:rPr>
          <w:sz w:val="48"/>
        </w:rPr>
        <w:t>R</w:t>
      </w:r>
      <w:r w:rsidRPr="00B40D71">
        <w:rPr>
          <w:sz w:val="36"/>
        </w:rPr>
        <w:t xml:space="preserve">aw </w:t>
      </w:r>
      <w:r w:rsidRPr="00BB6655">
        <w:rPr>
          <w:sz w:val="48"/>
        </w:rPr>
        <w:t>D</w:t>
      </w:r>
      <w:r w:rsidRPr="00B40D71">
        <w:rPr>
          <w:sz w:val="36"/>
        </w:rPr>
        <w:t>ata</w:t>
      </w:r>
    </w:p>
    <w:p w:rsidR="001166E0" w:rsidRPr="004C2874" w:rsidRDefault="004C2874" w:rsidP="004C2874">
      <w:pPr>
        <w:tabs>
          <w:tab w:val="left" w:pos="5445"/>
        </w:tabs>
        <w:spacing w:line="360" w:lineRule="auto"/>
        <w:jc w:val="center"/>
        <w:rPr>
          <w:lang w:val="pt-PT"/>
        </w:rPr>
      </w:pPr>
      <w:r w:rsidRPr="004C2874">
        <w:rPr>
          <w:lang w:val="pt-PT"/>
        </w:rPr>
        <w:t>[Siste</w:t>
      </w:r>
      <w:r w:rsidR="00DA72DB">
        <w:rPr>
          <w:lang w:val="pt-PT"/>
        </w:rPr>
        <w:t xml:space="preserve">ma de Análise para Dados </w:t>
      </w:r>
      <w:r w:rsidRPr="004C2874">
        <w:rPr>
          <w:lang w:val="pt-PT"/>
        </w:rPr>
        <w:t>Recolhidos</w:t>
      </w:r>
      <w:r w:rsidR="00DA72DB">
        <w:rPr>
          <w:lang w:val="pt-PT"/>
        </w:rPr>
        <w:t xml:space="preserve"> em Bruto</w:t>
      </w:r>
      <w:r w:rsidRPr="004C2874">
        <w:rPr>
          <w:lang w:val="pt-PT"/>
        </w:rPr>
        <w:t>]</w:t>
      </w:r>
    </w:p>
    <w:p w:rsidR="008E73F3" w:rsidRPr="008E73F3" w:rsidRDefault="002C1E98" w:rsidP="008E73F3">
      <w:pPr>
        <w:spacing w:line="360" w:lineRule="auto"/>
      </w:pPr>
      <w:r>
        <w:t xml:space="preserve"> </w:t>
      </w:r>
      <w:bookmarkStart w:id="0" w:name="_GoBack"/>
      <w:bookmarkEnd w:id="0"/>
    </w:p>
    <w:p w:rsidR="008E73F3" w:rsidRPr="002657C4" w:rsidRDefault="008E73F3" w:rsidP="00691C38">
      <w:pPr>
        <w:spacing w:line="360" w:lineRule="auto"/>
        <w:rPr>
          <w:lang w:val="en-US"/>
        </w:rPr>
      </w:pPr>
    </w:p>
    <w:p w:rsidR="008E73F3" w:rsidRDefault="008E73F3" w:rsidP="00691C38">
      <w:pPr>
        <w:spacing w:line="360" w:lineRule="auto"/>
        <w:rPr>
          <w:lang w:val="pt-PT"/>
        </w:rPr>
      </w:pPr>
      <w:r>
        <w:rPr>
          <w:lang w:val="pt-PT"/>
        </w:rPr>
        <w:t xml:space="preserve"> </w:t>
      </w:r>
    </w:p>
    <w:tbl>
      <w:tblPr>
        <w:tblW w:w="8789" w:type="dxa"/>
        <w:tblCellSpacing w:w="42" w:type="dxa"/>
        <w:tblBorders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04"/>
        <w:gridCol w:w="4485"/>
      </w:tblGrid>
      <w:tr w:rsidR="008E73F3" w:rsidRPr="002C1E98" w:rsidTr="000E5327">
        <w:trPr>
          <w:trHeight w:val="1761"/>
          <w:tblCellSpacing w:w="42" w:type="dxa"/>
        </w:trPr>
        <w:tc>
          <w:tcPr>
            <w:tcW w:w="4178" w:type="dxa"/>
            <w:shd w:val="clear" w:color="auto" w:fill="auto"/>
          </w:tcPr>
          <w:p w:rsidR="008E73F3" w:rsidRPr="008E73F3" w:rsidRDefault="008E73F3" w:rsidP="000E5327">
            <w:pPr>
              <w:ind w:left="142" w:right="124"/>
              <w:rPr>
                <w:b/>
                <w:color w:val="1F497D"/>
                <w:sz w:val="28"/>
                <w:szCs w:val="28"/>
                <w:lang w:val="pt-PT"/>
              </w:rPr>
            </w:pPr>
            <w:r w:rsidRPr="008E73F3">
              <w:rPr>
                <w:b/>
                <w:sz w:val="28"/>
                <w:szCs w:val="28"/>
                <w:lang w:val="pt-PT"/>
              </w:rPr>
              <w:t>Sobre</w:t>
            </w:r>
            <w:r w:rsidRPr="008E73F3">
              <w:rPr>
                <w:b/>
                <w:color w:val="1F497D"/>
                <w:sz w:val="28"/>
                <w:szCs w:val="28"/>
                <w:lang w:val="pt-PT"/>
              </w:rPr>
              <w:t xml:space="preserve"> </w:t>
            </w:r>
          </w:p>
          <w:p w:rsidR="008E73F3" w:rsidRPr="00716ECB" w:rsidRDefault="008E73F3" w:rsidP="000E5327">
            <w:pPr>
              <w:ind w:left="142" w:right="124"/>
              <w:rPr>
                <w:b/>
                <w:color w:val="1F497D"/>
                <w:szCs w:val="24"/>
                <w:lang w:val="pt-PT"/>
              </w:rPr>
            </w:pPr>
          </w:p>
          <w:p w:rsidR="008E73F3" w:rsidRPr="00716ECB" w:rsidRDefault="008E73F3" w:rsidP="008E73F3">
            <w:pPr>
              <w:ind w:left="142" w:right="124"/>
              <w:jc w:val="both"/>
              <w:rPr>
                <w:szCs w:val="24"/>
                <w:lang w:val="pt-PT"/>
              </w:rPr>
            </w:pPr>
            <w:r w:rsidRPr="00716ECB">
              <w:rPr>
                <w:szCs w:val="24"/>
                <w:lang w:val="pt-PT"/>
              </w:rPr>
              <w:t xml:space="preserve">O ASGARD tem </w:t>
            </w:r>
            <w:r w:rsidR="004C2874">
              <w:rPr>
                <w:szCs w:val="24"/>
                <w:lang w:val="pt-PT"/>
              </w:rPr>
              <w:t>por objetivo contribuir para a Autonomia T</w:t>
            </w:r>
            <w:r w:rsidRPr="00716ECB">
              <w:rPr>
                <w:szCs w:val="24"/>
                <w:lang w:val="pt-PT"/>
              </w:rPr>
              <w:t>ecnológica das Agências de Aplicação da Lei através da criação de uma comunidade duradoura</w:t>
            </w:r>
            <w:r>
              <w:rPr>
                <w:szCs w:val="24"/>
                <w:lang w:val="pt-PT"/>
              </w:rPr>
              <w:t xml:space="preserve"> e</w:t>
            </w:r>
            <w:r w:rsidRPr="00716ECB">
              <w:rPr>
                <w:szCs w:val="24"/>
                <w:lang w:val="pt-PT"/>
              </w:rPr>
              <w:t xml:space="preserve"> sustentável de Agências de Aplicação da Lei e da comunidade </w:t>
            </w:r>
            <w:r>
              <w:rPr>
                <w:szCs w:val="24"/>
                <w:lang w:val="pt-PT"/>
              </w:rPr>
              <w:t xml:space="preserve">científica e </w:t>
            </w:r>
            <w:r w:rsidRPr="00716ECB">
              <w:rPr>
                <w:szCs w:val="24"/>
                <w:lang w:val="pt-PT"/>
              </w:rPr>
              <w:t xml:space="preserve">industrial. A um custo mínimo ou mesmo a custo zero para </w:t>
            </w:r>
            <w:r w:rsidR="004C2874">
              <w:rPr>
                <w:szCs w:val="24"/>
                <w:lang w:val="pt-PT"/>
              </w:rPr>
              <w:t>as Agências de Aplicação da Lei,</w:t>
            </w:r>
            <w:r w:rsidRPr="00716ECB">
              <w:rPr>
                <w:szCs w:val="24"/>
                <w:lang w:val="pt-PT"/>
              </w:rPr>
              <w:t xml:space="preserve"> irá criar, manter e desenvolver o melhor conjunto de ferramentas para a extração, fusão, </w:t>
            </w:r>
            <w:r w:rsidR="004C2874">
              <w:rPr>
                <w:szCs w:val="24"/>
                <w:lang w:val="pt-PT"/>
              </w:rPr>
              <w:t xml:space="preserve">intercâmbio </w:t>
            </w:r>
            <w:r w:rsidRPr="00716ECB">
              <w:rPr>
                <w:szCs w:val="24"/>
                <w:lang w:val="pt-PT"/>
              </w:rPr>
              <w:t xml:space="preserve">e análise de grandes volumes de dados incluindo os crimes cibernéticos para a investigação forense.     </w:t>
            </w:r>
          </w:p>
          <w:p w:rsidR="008E73F3" w:rsidRPr="00716ECB" w:rsidRDefault="008E73F3" w:rsidP="000E5327">
            <w:pPr>
              <w:ind w:left="142" w:right="124"/>
              <w:rPr>
                <w:szCs w:val="24"/>
                <w:lang w:val="pt-PT"/>
              </w:rPr>
            </w:pPr>
          </w:p>
          <w:p w:rsidR="008E73F3" w:rsidRPr="00716ECB" w:rsidRDefault="008E73F3" w:rsidP="008E73F3">
            <w:pPr>
              <w:ind w:left="142" w:right="124"/>
              <w:jc w:val="both"/>
              <w:rPr>
                <w:szCs w:val="24"/>
                <w:lang w:val="pt-PT"/>
              </w:rPr>
            </w:pPr>
            <w:r w:rsidRPr="00716ECB">
              <w:rPr>
                <w:szCs w:val="24"/>
                <w:lang w:val="pt-PT"/>
              </w:rPr>
              <w:t xml:space="preserve">O ASGARD irá ajudar as Agências de Aplicação da Lei a </w:t>
            </w:r>
            <w:r w:rsidR="004C2874" w:rsidRPr="00716ECB">
              <w:rPr>
                <w:szCs w:val="24"/>
                <w:lang w:val="pt-PT"/>
              </w:rPr>
              <w:t>ampliar</w:t>
            </w:r>
            <w:r w:rsidRPr="00716ECB">
              <w:rPr>
                <w:szCs w:val="24"/>
                <w:lang w:val="pt-PT"/>
              </w:rPr>
              <w:t xml:space="preserve"> de forma significativa as suas capacidades. </w:t>
            </w:r>
          </w:p>
          <w:p w:rsidR="008E73F3" w:rsidRPr="00716ECB" w:rsidRDefault="008E73F3" w:rsidP="000E5327">
            <w:pPr>
              <w:ind w:left="142" w:right="124"/>
              <w:rPr>
                <w:szCs w:val="24"/>
                <w:lang w:val="pt-PT"/>
              </w:rPr>
            </w:pPr>
          </w:p>
          <w:p w:rsidR="008E73F3" w:rsidRPr="00716ECB" w:rsidRDefault="008E73F3" w:rsidP="000E5327">
            <w:pPr>
              <w:ind w:left="142" w:right="124"/>
              <w:rPr>
                <w:szCs w:val="24"/>
                <w:lang w:val="pt-PT"/>
              </w:rPr>
            </w:pPr>
          </w:p>
          <w:p w:rsidR="008E73F3" w:rsidRDefault="008E73F3" w:rsidP="008E73F3">
            <w:pPr>
              <w:ind w:left="142" w:right="124"/>
              <w:jc w:val="both"/>
              <w:rPr>
                <w:b/>
                <w:sz w:val="28"/>
                <w:szCs w:val="28"/>
                <w:lang w:val="pt-PT"/>
              </w:rPr>
            </w:pPr>
          </w:p>
          <w:p w:rsidR="008E73F3" w:rsidRDefault="008E73F3" w:rsidP="008E73F3">
            <w:pPr>
              <w:ind w:left="142" w:right="124"/>
              <w:jc w:val="both"/>
              <w:rPr>
                <w:b/>
                <w:sz w:val="28"/>
                <w:szCs w:val="28"/>
                <w:lang w:val="pt-PT"/>
              </w:rPr>
            </w:pPr>
          </w:p>
          <w:p w:rsidR="008E73F3" w:rsidRDefault="008E73F3" w:rsidP="008E73F3">
            <w:pPr>
              <w:ind w:left="142" w:right="124"/>
              <w:jc w:val="both"/>
              <w:rPr>
                <w:b/>
                <w:sz w:val="28"/>
                <w:szCs w:val="28"/>
                <w:lang w:val="pt-PT"/>
              </w:rPr>
            </w:pPr>
          </w:p>
          <w:p w:rsidR="008E73F3" w:rsidRDefault="008E73F3" w:rsidP="008E73F3">
            <w:pPr>
              <w:ind w:left="142" w:right="124"/>
              <w:jc w:val="both"/>
              <w:rPr>
                <w:b/>
                <w:sz w:val="28"/>
                <w:szCs w:val="28"/>
                <w:lang w:val="pt-PT"/>
              </w:rPr>
            </w:pPr>
          </w:p>
          <w:p w:rsidR="008E73F3" w:rsidRDefault="008E73F3" w:rsidP="008E73F3">
            <w:pPr>
              <w:ind w:left="142" w:right="124"/>
              <w:jc w:val="both"/>
              <w:rPr>
                <w:b/>
                <w:sz w:val="28"/>
                <w:szCs w:val="28"/>
                <w:lang w:val="pt-PT"/>
              </w:rPr>
            </w:pPr>
          </w:p>
          <w:p w:rsidR="008E73F3" w:rsidRDefault="008E73F3" w:rsidP="008E73F3">
            <w:pPr>
              <w:ind w:left="142" w:right="124"/>
              <w:jc w:val="both"/>
              <w:rPr>
                <w:b/>
                <w:sz w:val="28"/>
                <w:szCs w:val="28"/>
                <w:lang w:val="pt-PT"/>
              </w:rPr>
            </w:pPr>
          </w:p>
          <w:p w:rsidR="008E73F3" w:rsidRDefault="008E73F3" w:rsidP="008E73F3">
            <w:pPr>
              <w:ind w:left="142" w:right="124"/>
              <w:jc w:val="both"/>
              <w:rPr>
                <w:b/>
                <w:sz w:val="28"/>
                <w:szCs w:val="28"/>
                <w:lang w:val="pt-PT"/>
              </w:rPr>
            </w:pPr>
          </w:p>
          <w:p w:rsidR="008E73F3" w:rsidRDefault="008E73F3" w:rsidP="008E73F3">
            <w:pPr>
              <w:ind w:left="142" w:right="124"/>
              <w:jc w:val="both"/>
              <w:rPr>
                <w:b/>
                <w:sz w:val="28"/>
                <w:szCs w:val="28"/>
                <w:lang w:val="pt-PT"/>
              </w:rPr>
            </w:pPr>
          </w:p>
          <w:p w:rsidR="008E73F3" w:rsidRPr="00716ECB" w:rsidRDefault="008E73F3" w:rsidP="008E73F3">
            <w:pPr>
              <w:ind w:left="142" w:right="124"/>
              <w:jc w:val="both"/>
              <w:rPr>
                <w:b/>
                <w:sz w:val="28"/>
                <w:szCs w:val="28"/>
                <w:lang w:val="pt-PT"/>
              </w:rPr>
            </w:pPr>
            <w:r w:rsidRPr="00716ECB">
              <w:rPr>
                <w:b/>
                <w:sz w:val="28"/>
                <w:szCs w:val="28"/>
                <w:lang w:val="pt-PT"/>
              </w:rPr>
              <w:lastRenderedPageBreak/>
              <w:t>Desafio</w:t>
            </w:r>
          </w:p>
          <w:p w:rsidR="008E73F3" w:rsidRPr="00716ECB" w:rsidRDefault="008E73F3" w:rsidP="008E73F3">
            <w:pPr>
              <w:ind w:left="142" w:right="124"/>
              <w:jc w:val="both"/>
              <w:rPr>
                <w:szCs w:val="24"/>
                <w:lang w:val="pt-PT"/>
              </w:rPr>
            </w:pPr>
          </w:p>
          <w:p w:rsidR="008E73F3" w:rsidRPr="00716ECB" w:rsidRDefault="008E73F3" w:rsidP="008E73F3">
            <w:pPr>
              <w:ind w:left="142" w:right="124"/>
              <w:jc w:val="both"/>
              <w:rPr>
                <w:szCs w:val="24"/>
                <w:lang w:val="pt-PT"/>
              </w:rPr>
            </w:pPr>
            <w:r w:rsidRPr="00716ECB">
              <w:rPr>
                <w:szCs w:val="24"/>
                <w:lang w:val="pt-PT"/>
              </w:rPr>
              <w:t xml:space="preserve">A disponibilidade de </w:t>
            </w:r>
            <w:proofErr w:type="spellStart"/>
            <w:r w:rsidRPr="00716ECB">
              <w:rPr>
                <w:szCs w:val="24"/>
                <w:lang w:val="pt-PT"/>
              </w:rPr>
              <w:t>peta</w:t>
            </w:r>
            <w:r w:rsidR="004C2874">
              <w:rPr>
                <w:szCs w:val="24"/>
                <w:lang w:val="pt-PT"/>
              </w:rPr>
              <w:t>by</w:t>
            </w:r>
            <w:r w:rsidRPr="00716ECB">
              <w:rPr>
                <w:szCs w:val="24"/>
                <w:lang w:val="pt-PT"/>
              </w:rPr>
              <w:t>tes</w:t>
            </w:r>
            <w:proofErr w:type="spellEnd"/>
            <w:r w:rsidRPr="00716ECB">
              <w:rPr>
                <w:szCs w:val="24"/>
                <w:lang w:val="pt-PT"/>
              </w:rPr>
              <w:t xml:space="preserve"> de informação on-line e off-line aberta ao público e detid</w:t>
            </w:r>
            <w:r>
              <w:rPr>
                <w:szCs w:val="24"/>
                <w:lang w:val="pt-PT"/>
              </w:rPr>
              <w:t>a</w:t>
            </w:r>
            <w:r w:rsidRPr="00716ECB">
              <w:rPr>
                <w:szCs w:val="24"/>
                <w:lang w:val="pt-PT"/>
              </w:rPr>
              <w:t xml:space="preserve"> pel</w:t>
            </w:r>
            <w:r w:rsidR="00DA72DB">
              <w:rPr>
                <w:szCs w:val="24"/>
                <w:lang w:val="pt-PT"/>
              </w:rPr>
              <w:t>as Agências de Aplicação da Lei -</w:t>
            </w:r>
            <w:r w:rsidRPr="00716ECB">
              <w:rPr>
                <w:szCs w:val="24"/>
                <w:lang w:val="pt-PT"/>
              </w:rPr>
              <w:t xml:space="preserve"> tais como forças policiais ou autoridades alfandegárias</w:t>
            </w:r>
            <w:r w:rsidR="00DA72DB">
              <w:rPr>
                <w:szCs w:val="24"/>
                <w:lang w:val="pt-PT"/>
              </w:rPr>
              <w:t xml:space="preserve"> </w:t>
            </w:r>
            <w:proofErr w:type="gramStart"/>
            <w:r w:rsidR="00DA72DB">
              <w:rPr>
                <w:szCs w:val="24"/>
                <w:lang w:val="pt-PT"/>
              </w:rPr>
              <w:t xml:space="preserve">- </w:t>
            </w:r>
            <w:r w:rsidRPr="00716ECB">
              <w:rPr>
                <w:szCs w:val="24"/>
                <w:lang w:val="pt-PT"/>
              </w:rPr>
              <w:t>,</w:t>
            </w:r>
            <w:proofErr w:type="gramEnd"/>
            <w:r w:rsidRPr="00716ECB">
              <w:rPr>
                <w:szCs w:val="24"/>
                <w:lang w:val="pt-PT"/>
              </w:rPr>
              <w:t xml:space="preserve"> ou decorrentes da investigação de um crime cibernético, representa </w:t>
            </w:r>
            <w:r w:rsidR="004C2874">
              <w:rPr>
                <w:szCs w:val="24"/>
                <w:lang w:val="pt-PT"/>
              </w:rPr>
              <w:t xml:space="preserve">não só </w:t>
            </w:r>
            <w:r w:rsidRPr="00716ECB">
              <w:rPr>
                <w:szCs w:val="24"/>
                <w:lang w:val="pt-PT"/>
              </w:rPr>
              <w:t>um recurso valioso, mas também um desafio significativo em matéria de gestão.</w:t>
            </w:r>
          </w:p>
          <w:p w:rsidR="008E73F3" w:rsidRPr="00716ECB" w:rsidRDefault="008E73F3" w:rsidP="008E73F3">
            <w:pPr>
              <w:ind w:left="142" w:right="124"/>
              <w:jc w:val="both"/>
              <w:rPr>
                <w:szCs w:val="24"/>
                <w:lang w:val="pt-PT"/>
              </w:rPr>
            </w:pPr>
          </w:p>
          <w:p w:rsidR="008E73F3" w:rsidRPr="00716ECB" w:rsidRDefault="008E73F3" w:rsidP="008E73F3">
            <w:pPr>
              <w:ind w:left="142" w:right="124"/>
              <w:jc w:val="both"/>
              <w:rPr>
                <w:szCs w:val="24"/>
                <w:lang w:val="pt-PT"/>
              </w:rPr>
            </w:pPr>
            <w:r w:rsidRPr="00716ECB">
              <w:rPr>
                <w:szCs w:val="24"/>
                <w:lang w:val="pt-PT"/>
              </w:rPr>
              <w:t xml:space="preserve"> </w:t>
            </w:r>
            <w:r>
              <w:rPr>
                <w:szCs w:val="24"/>
                <w:lang w:val="pt-PT"/>
              </w:rPr>
              <w:t>O acesso a grandes</w:t>
            </w:r>
            <w:r w:rsidRPr="00716ECB">
              <w:rPr>
                <w:szCs w:val="24"/>
                <w:lang w:val="pt-PT"/>
              </w:rPr>
              <w:t xml:space="preserve"> volumes de dados, estruturados (bases de dados), não estruturados (texto multilíngue, multimédia)</w:t>
            </w:r>
            <w:r>
              <w:rPr>
                <w:szCs w:val="24"/>
                <w:lang w:val="pt-PT"/>
              </w:rPr>
              <w:t xml:space="preserve">, </w:t>
            </w:r>
            <w:proofErr w:type="spellStart"/>
            <w:proofErr w:type="gramStart"/>
            <w:r w:rsidRPr="00716ECB">
              <w:rPr>
                <w:szCs w:val="24"/>
                <w:lang w:val="pt-PT"/>
              </w:rPr>
              <w:t>semi-estruturados</w:t>
            </w:r>
            <w:proofErr w:type="spellEnd"/>
            <w:r w:rsidRPr="00716ECB">
              <w:rPr>
                <w:szCs w:val="24"/>
                <w:lang w:val="pt-PT"/>
              </w:rPr>
              <w:t xml:space="preserve">  (HTML</w:t>
            </w:r>
            <w:proofErr w:type="gramEnd"/>
            <w:r w:rsidRPr="00716ECB">
              <w:rPr>
                <w:szCs w:val="24"/>
                <w:lang w:val="pt-PT"/>
              </w:rPr>
              <w:t>, XML, etc.), dados heterogéneos recolhidos pelos sensores das Agências de Aplicação da Lei tais como vídeo, áudio, GSM e GPS, tod</w:t>
            </w:r>
            <w:r>
              <w:rPr>
                <w:szCs w:val="24"/>
                <w:lang w:val="pt-PT"/>
              </w:rPr>
              <w:t xml:space="preserve">os </w:t>
            </w:r>
            <w:r w:rsidRPr="00716ECB">
              <w:rPr>
                <w:szCs w:val="24"/>
                <w:lang w:val="pt-PT"/>
              </w:rPr>
              <w:t xml:space="preserve">possivelmente </w:t>
            </w:r>
            <w:r>
              <w:rPr>
                <w:szCs w:val="24"/>
                <w:lang w:val="pt-PT"/>
              </w:rPr>
              <w:t>ocultos ou tornados anónimos,</w:t>
            </w:r>
            <w:r w:rsidRPr="00716ECB">
              <w:rPr>
                <w:szCs w:val="24"/>
                <w:lang w:val="pt-PT"/>
              </w:rPr>
              <w:t xml:space="preserve"> disponíveis localmente ou via redes detidas/partilhadas pelas Agências de Aplicação da Lei ou via internet, poder</w:t>
            </w:r>
            <w:r>
              <w:rPr>
                <w:szCs w:val="24"/>
                <w:lang w:val="pt-PT"/>
              </w:rPr>
              <w:t>á</w:t>
            </w:r>
            <w:r w:rsidRPr="00716ECB">
              <w:rPr>
                <w:szCs w:val="24"/>
                <w:lang w:val="pt-PT"/>
              </w:rPr>
              <w:t xml:space="preserve"> facilmente resultar numa sobrecarga de informação e representar um problema em vez de um ativo útil.</w:t>
            </w:r>
          </w:p>
        </w:tc>
        <w:tc>
          <w:tcPr>
            <w:tcW w:w="4359" w:type="dxa"/>
            <w:shd w:val="clear" w:color="auto" w:fill="auto"/>
          </w:tcPr>
          <w:p w:rsidR="008E73F3" w:rsidRPr="0013686F" w:rsidRDefault="008E73F3" w:rsidP="000E5327">
            <w:pPr>
              <w:tabs>
                <w:tab w:val="num" w:pos="-17"/>
              </w:tabs>
              <w:rPr>
                <w:b/>
                <w:sz w:val="28"/>
                <w:szCs w:val="28"/>
                <w:lang w:val="pt-PT"/>
              </w:rPr>
            </w:pPr>
            <w:r w:rsidRPr="0013686F">
              <w:rPr>
                <w:b/>
                <w:sz w:val="28"/>
                <w:szCs w:val="28"/>
                <w:lang w:val="pt-PT"/>
              </w:rPr>
              <w:lastRenderedPageBreak/>
              <w:t>Plano de Trabalho</w:t>
            </w:r>
          </w:p>
          <w:p w:rsidR="008E73F3" w:rsidRPr="0013686F" w:rsidRDefault="008E73F3" w:rsidP="000E5327">
            <w:pPr>
              <w:tabs>
                <w:tab w:val="num" w:pos="-17"/>
              </w:tabs>
              <w:rPr>
                <w:szCs w:val="24"/>
                <w:lang w:val="pt-PT"/>
              </w:rPr>
            </w:pPr>
          </w:p>
          <w:p w:rsidR="008E73F3" w:rsidRPr="0013686F" w:rsidRDefault="008E73F3" w:rsidP="000E5327">
            <w:pPr>
              <w:tabs>
                <w:tab w:val="num" w:pos="-17"/>
              </w:tabs>
              <w:rPr>
                <w:b/>
                <w:szCs w:val="24"/>
                <w:lang w:val="pt-PT"/>
              </w:rPr>
            </w:pPr>
            <w:r w:rsidRPr="0013686F">
              <w:rPr>
                <w:b/>
                <w:szCs w:val="24"/>
                <w:lang w:val="pt-PT"/>
              </w:rPr>
              <w:t>O projeto está organizado em 5 fases:</w:t>
            </w:r>
          </w:p>
          <w:p w:rsidR="008E73F3" w:rsidRPr="0013686F" w:rsidRDefault="008E73F3" w:rsidP="000E5327">
            <w:pPr>
              <w:tabs>
                <w:tab w:val="num" w:pos="-17"/>
              </w:tabs>
              <w:rPr>
                <w:szCs w:val="24"/>
                <w:lang w:val="pt-PT"/>
              </w:rPr>
            </w:pPr>
          </w:p>
          <w:p w:rsidR="008E73F3" w:rsidRPr="0013686F" w:rsidRDefault="008E73F3" w:rsidP="000E5327">
            <w:pPr>
              <w:tabs>
                <w:tab w:val="num" w:pos="-17"/>
              </w:tabs>
              <w:rPr>
                <w:b/>
                <w:szCs w:val="24"/>
                <w:lang w:val="pt-PT"/>
              </w:rPr>
            </w:pPr>
            <w:r w:rsidRPr="0013686F">
              <w:rPr>
                <w:b/>
                <w:szCs w:val="24"/>
                <w:lang w:val="pt-PT"/>
              </w:rPr>
              <w:t>FASE 1</w:t>
            </w:r>
          </w:p>
          <w:p w:rsidR="008E73F3" w:rsidRPr="0013686F" w:rsidRDefault="008E73F3" w:rsidP="008E73F3">
            <w:pPr>
              <w:tabs>
                <w:tab w:val="num" w:pos="-17"/>
              </w:tabs>
              <w:ind w:right="183"/>
              <w:jc w:val="both"/>
              <w:rPr>
                <w:szCs w:val="24"/>
                <w:lang w:val="pt-PT"/>
              </w:rPr>
            </w:pPr>
            <w:r w:rsidRPr="0013686F">
              <w:rPr>
                <w:szCs w:val="24"/>
                <w:lang w:val="pt-PT"/>
              </w:rPr>
              <w:t>A inicial fase de “Arranque” (M</w:t>
            </w:r>
            <w:r w:rsidR="00DA72DB">
              <w:rPr>
                <w:szCs w:val="24"/>
                <w:lang w:val="pt-PT"/>
              </w:rPr>
              <w:t>1-M3) irá focar-se na organização</w:t>
            </w:r>
            <w:r w:rsidRPr="0013686F">
              <w:rPr>
                <w:szCs w:val="24"/>
                <w:lang w:val="pt-PT"/>
              </w:rPr>
              <w:t xml:space="preserve"> do projeto e estruturas o</w:t>
            </w:r>
            <w:r>
              <w:rPr>
                <w:szCs w:val="24"/>
                <w:lang w:val="pt-PT"/>
              </w:rPr>
              <w:t>peracionais (por ex. planos de G</w:t>
            </w:r>
            <w:r w:rsidRPr="0013686F">
              <w:rPr>
                <w:szCs w:val="24"/>
                <w:lang w:val="pt-PT"/>
              </w:rPr>
              <w:t xml:space="preserve">estão e Qualidade, o Conselho de Revisão do Impacto Ético e Social e os eventos </w:t>
            </w:r>
            <w:r w:rsidR="004C2874">
              <w:rPr>
                <w:szCs w:val="24"/>
                <w:lang w:val="pt-PT"/>
              </w:rPr>
              <w:t xml:space="preserve">de lançamento </w:t>
            </w:r>
            <w:r w:rsidRPr="0013686F">
              <w:rPr>
                <w:szCs w:val="24"/>
                <w:lang w:val="pt-PT"/>
              </w:rPr>
              <w:t xml:space="preserve">do Grupo Consultivo de Partes Interessadas), pesquisas importantes serão </w:t>
            </w:r>
            <w:r>
              <w:rPr>
                <w:szCs w:val="24"/>
                <w:lang w:val="pt-PT"/>
              </w:rPr>
              <w:t>objeto de análise</w:t>
            </w:r>
            <w:r w:rsidRPr="0013686F">
              <w:rPr>
                <w:szCs w:val="24"/>
                <w:lang w:val="pt-PT"/>
              </w:rPr>
              <w:t xml:space="preserve"> e o trabalho relacionado com a </w:t>
            </w:r>
            <w:r w:rsidR="00DA72DB">
              <w:rPr>
                <w:szCs w:val="24"/>
                <w:lang w:val="pt-PT"/>
              </w:rPr>
              <w:t>definição de casos de uso</w:t>
            </w:r>
            <w:r w:rsidRPr="0013686F">
              <w:rPr>
                <w:szCs w:val="24"/>
                <w:lang w:val="pt-PT"/>
              </w:rPr>
              <w:t xml:space="preserve"> e atividades em matéria Social, Étic</w:t>
            </w:r>
            <w:r w:rsidR="00DA72DB">
              <w:rPr>
                <w:szCs w:val="24"/>
                <w:lang w:val="pt-PT"/>
              </w:rPr>
              <w:t>a, Jurídica e de Privacidade irão</w:t>
            </w:r>
            <w:r w:rsidRPr="0013686F">
              <w:rPr>
                <w:szCs w:val="24"/>
                <w:lang w:val="pt-PT"/>
              </w:rPr>
              <w:t xml:space="preserve"> ter início.</w:t>
            </w:r>
          </w:p>
          <w:p w:rsidR="008E73F3" w:rsidRPr="0013686F" w:rsidRDefault="008E73F3" w:rsidP="000E5327">
            <w:pPr>
              <w:tabs>
                <w:tab w:val="num" w:pos="-17"/>
              </w:tabs>
              <w:rPr>
                <w:szCs w:val="24"/>
                <w:lang w:val="pt-PT"/>
              </w:rPr>
            </w:pPr>
          </w:p>
          <w:p w:rsidR="008E73F3" w:rsidRPr="0013686F" w:rsidRDefault="008E73F3" w:rsidP="000E5327">
            <w:pPr>
              <w:tabs>
                <w:tab w:val="num" w:pos="-17"/>
              </w:tabs>
              <w:rPr>
                <w:b/>
                <w:szCs w:val="24"/>
                <w:lang w:val="pt-PT"/>
              </w:rPr>
            </w:pPr>
            <w:r w:rsidRPr="0013686F">
              <w:rPr>
                <w:b/>
                <w:szCs w:val="24"/>
                <w:lang w:val="pt-PT"/>
              </w:rPr>
              <w:t>FASE 2</w:t>
            </w:r>
          </w:p>
          <w:p w:rsidR="008E73F3" w:rsidRPr="0013686F" w:rsidRDefault="008E73F3" w:rsidP="008E73F3">
            <w:pPr>
              <w:tabs>
                <w:tab w:val="num" w:pos="-17"/>
              </w:tabs>
              <w:ind w:right="183"/>
              <w:jc w:val="both"/>
              <w:rPr>
                <w:szCs w:val="24"/>
                <w:lang w:val="pt-PT"/>
              </w:rPr>
            </w:pPr>
            <w:r w:rsidRPr="0013686F">
              <w:rPr>
                <w:szCs w:val="24"/>
                <w:lang w:val="pt-PT"/>
              </w:rPr>
              <w:t xml:space="preserve">Durante a fase de </w:t>
            </w:r>
            <w:r>
              <w:rPr>
                <w:szCs w:val="24"/>
                <w:lang w:val="pt-PT"/>
              </w:rPr>
              <w:t>“Provar a V</w:t>
            </w:r>
            <w:r w:rsidRPr="0013686F">
              <w:rPr>
                <w:szCs w:val="24"/>
                <w:lang w:val="pt-PT"/>
              </w:rPr>
              <w:t>iabilidade</w:t>
            </w:r>
            <w:r>
              <w:rPr>
                <w:szCs w:val="24"/>
                <w:lang w:val="pt-PT"/>
              </w:rPr>
              <w:t>” (M4</w:t>
            </w:r>
            <w:r w:rsidRPr="0013686F">
              <w:rPr>
                <w:szCs w:val="24"/>
                <w:lang w:val="pt-PT"/>
              </w:rPr>
              <w:t xml:space="preserve">-M15), serão lançados os alicerces da plataforma </w:t>
            </w:r>
            <w:r w:rsidR="004C2874">
              <w:rPr>
                <w:szCs w:val="24"/>
                <w:lang w:val="pt-PT"/>
              </w:rPr>
              <w:t xml:space="preserve">sendo </w:t>
            </w:r>
            <w:r w:rsidRPr="0013686F">
              <w:rPr>
                <w:szCs w:val="24"/>
                <w:lang w:val="pt-PT"/>
              </w:rPr>
              <w:t>integradas tecnologias facilmente disponíveis de última gera</w:t>
            </w:r>
            <w:r w:rsidR="004C2874">
              <w:rPr>
                <w:szCs w:val="24"/>
                <w:lang w:val="pt-PT"/>
              </w:rPr>
              <w:t xml:space="preserve">ção. Um estudo de viabilidade relativo aos </w:t>
            </w:r>
            <w:r w:rsidRPr="0013686F">
              <w:rPr>
                <w:szCs w:val="24"/>
                <w:lang w:val="pt-PT"/>
              </w:rPr>
              <w:t>conjuntos de dados disponíveis será igualmente levado a cabo durante esta fase.</w:t>
            </w:r>
          </w:p>
          <w:p w:rsidR="008E73F3" w:rsidRPr="0013686F" w:rsidRDefault="008E73F3" w:rsidP="000E5327">
            <w:pPr>
              <w:tabs>
                <w:tab w:val="num" w:pos="-17"/>
              </w:tabs>
              <w:rPr>
                <w:szCs w:val="24"/>
                <w:lang w:val="pt-PT"/>
              </w:rPr>
            </w:pPr>
          </w:p>
          <w:p w:rsidR="008E73F3" w:rsidRDefault="008E73F3" w:rsidP="000E5327">
            <w:pPr>
              <w:tabs>
                <w:tab w:val="num" w:pos="-17"/>
              </w:tabs>
              <w:rPr>
                <w:b/>
                <w:szCs w:val="24"/>
                <w:lang w:val="pt-PT"/>
              </w:rPr>
            </w:pPr>
          </w:p>
          <w:p w:rsidR="008E73F3" w:rsidRDefault="008E73F3" w:rsidP="000E5327">
            <w:pPr>
              <w:tabs>
                <w:tab w:val="num" w:pos="-17"/>
              </w:tabs>
              <w:rPr>
                <w:b/>
                <w:szCs w:val="24"/>
                <w:lang w:val="pt-PT"/>
              </w:rPr>
            </w:pPr>
          </w:p>
          <w:p w:rsidR="008E73F3" w:rsidRDefault="008E73F3" w:rsidP="000E5327">
            <w:pPr>
              <w:tabs>
                <w:tab w:val="num" w:pos="-17"/>
              </w:tabs>
              <w:rPr>
                <w:b/>
                <w:szCs w:val="24"/>
                <w:lang w:val="pt-PT"/>
              </w:rPr>
            </w:pPr>
          </w:p>
          <w:p w:rsidR="008E73F3" w:rsidRDefault="008E73F3" w:rsidP="000E5327">
            <w:pPr>
              <w:tabs>
                <w:tab w:val="num" w:pos="-17"/>
              </w:tabs>
              <w:rPr>
                <w:b/>
                <w:szCs w:val="24"/>
                <w:lang w:val="pt-PT"/>
              </w:rPr>
            </w:pPr>
          </w:p>
          <w:p w:rsidR="008E73F3" w:rsidRDefault="008E73F3" w:rsidP="000E5327">
            <w:pPr>
              <w:tabs>
                <w:tab w:val="num" w:pos="-17"/>
              </w:tabs>
              <w:rPr>
                <w:b/>
                <w:szCs w:val="24"/>
                <w:lang w:val="pt-PT"/>
              </w:rPr>
            </w:pPr>
          </w:p>
          <w:p w:rsidR="008E73F3" w:rsidRDefault="008E73F3" w:rsidP="000E5327">
            <w:pPr>
              <w:tabs>
                <w:tab w:val="num" w:pos="-17"/>
              </w:tabs>
              <w:rPr>
                <w:b/>
                <w:szCs w:val="24"/>
                <w:lang w:val="pt-PT"/>
              </w:rPr>
            </w:pPr>
          </w:p>
          <w:p w:rsidR="008E73F3" w:rsidRPr="0013686F" w:rsidRDefault="008E73F3" w:rsidP="000E5327">
            <w:pPr>
              <w:tabs>
                <w:tab w:val="num" w:pos="-17"/>
              </w:tabs>
              <w:rPr>
                <w:b/>
                <w:szCs w:val="24"/>
                <w:lang w:val="pt-PT"/>
              </w:rPr>
            </w:pPr>
            <w:r w:rsidRPr="0013686F">
              <w:rPr>
                <w:b/>
                <w:szCs w:val="24"/>
                <w:lang w:val="pt-PT"/>
              </w:rPr>
              <w:t>FASE 3</w:t>
            </w:r>
          </w:p>
          <w:p w:rsidR="008E73F3" w:rsidRPr="0013686F" w:rsidRDefault="008E73F3" w:rsidP="008E73F3">
            <w:pPr>
              <w:tabs>
                <w:tab w:val="num" w:pos="-17"/>
              </w:tabs>
              <w:ind w:right="183"/>
              <w:jc w:val="both"/>
              <w:rPr>
                <w:szCs w:val="24"/>
                <w:lang w:val="pt-PT"/>
              </w:rPr>
            </w:pPr>
            <w:r w:rsidRPr="0013686F">
              <w:rPr>
                <w:szCs w:val="24"/>
                <w:lang w:val="pt-PT"/>
              </w:rPr>
              <w:t>A fase “ Mostrar Eficiência” (M16-M27) irá centrar-se no desenvolvimento de novas ferramentas e aplicações, bem como no aperfeiçoamen</w:t>
            </w:r>
            <w:r w:rsidR="00DA72DB">
              <w:rPr>
                <w:szCs w:val="24"/>
                <w:lang w:val="pt-PT"/>
              </w:rPr>
              <w:t>to de casos de uso</w:t>
            </w:r>
            <w:r w:rsidRPr="0013686F">
              <w:rPr>
                <w:szCs w:val="24"/>
                <w:lang w:val="pt-PT"/>
              </w:rPr>
              <w:t>.</w:t>
            </w:r>
          </w:p>
          <w:p w:rsidR="008E73F3" w:rsidRPr="0013686F" w:rsidRDefault="008E73F3" w:rsidP="008E73F3">
            <w:pPr>
              <w:tabs>
                <w:tab w:val="num" w:pos="-17"/>
              </w:tabs>
              <w:ind w:right="183"/>
              <w:jc w:val="both"/>
              <w:rPr>
                <w:szCs w:val="24"/>
                <w:lang w:val="pt-PT"/>
              </w:rPr>
            </w:pPr>
            <w:r w:rsidRPr="0013686F">
              <w:rPr>
                <w:szCs w:val="24"/>
                <w:lang w:val="pt-PT"/>
              </w:rPr>
              <w:t xml:space="preserve"> </w:t>
            </w:r>
          </w:p>
          <w:p w:rsidR="008E73F3" w:rsidRPr="0013686F" w:rsidRDefault="008E73F3" w:rsidP="008E73F3">
            <w:pPr>
              <w:tabs>
                <w:tab w:val="num" w:pos="-17"/>
              </w:tabs>
              <w:ind w:right="183"/>
              <w:jc w:val="both"/>
              <w:rPr>
                <w:b/>
                <w:szCs w:val="24"/>
                <w:lang w:val="pt-PT"/>
              </w:rPr>
            </w:pPr>
            <w:r>
              <w:rPr>
                <w:b/>
                <w:szCs w:val="24"/>
                <w:lang w:val="pt-PT"/>
              </w:rPr>
              <w:t>FASE</w:t>
            </w:r>
            <w:r w:rsidRPr="0013686F">
              <w:rPr>
                <w:b/>
                <w:szCs w:val="24"/>
                <w:lang w:val="pt-PT"/>
              </w:rPr>
              <w:t xml:space="preserve"> 4</w:t>
            </w:r>
          </w:p>
          <w:p w:rsidR="008E73F3" w:rsidRPr="0013686F" w:rsidRDefault="008E73F3" w:rsidP="008E73F3">
            <w:pPr>
              <w:tabs>
                <w:tab w:val="num" w:pos="-17"/>
              </w:tabs>
              <w:ind w:right="183"/>
              <w:jc w:val="both"/>
              <w:rPr>
                <w:szCs w:val="24"/>
                <w:lang w:val="pt-PT"/>
              </w:rPr>
            </w:pPr>
            <w:r w:rsidRPr="0013686F">
              <w:rPr>
                <w:szCs w:val="24"/>
                <w:lang w:val="pt-PT"/>
              </w:rPr>
              <w:t>A fase de “Adaptação da Aplicação” (M40-M42) irá concentrar-se na garantia de adaptação do domínio das ferramentas e aplicações, expansão, aumento da colaboração</w:t>
            </w:r>
            <w:r>
              <w:rPr>
                <w:szCs w:val="24"/>
                <w:lang w:val="pt-PT"/>
              </w:rPr>
              <w:t>,</w:t>
            </w:r>
            <w:r w:rsidRPr="0013686F">
              <w:rPr>
                <w:szCs w:val="24"/>
                <w:lang w:val="pt-PT"/>
              </w:rPr>
              <w:t xml:space="preserve"> formação e certificação.</w:t>
            </w:r>
          </w:p>
          <w:p w:rsidR="008E73F3" w:rsidRPr="0013686F" w:rsidRDefault="008E73F3" w:rsidP="008E73F3">
            <w:pPr>
              <w:tabs>
                <w:tab w:val="num" w:pos="-17"/>
              </w:tabs>
              <w:ind w:right="183"/>
              <w:jc w:val="both"/>
              <w:rPr>
                <w:szCs w:val="24"/>
                <w:lang w:val="pt-PT"/>
              </w:rPr>
            </w:pPr>
          </w:p>
          <w:p w:rsidR="008E73F3" w:rsidRPr="0013686F" w:rsidRDefault="008E73F3" w:rsidP="008E73F3">
            <w:pPr>
              <w:tabs>
                <w:tab w:val="num" w:pos="-17"/>
              </w:tabs>
              <w:ind w:right="183"/>
              <w:jc w:val="both"/>
              <w:rPr>
                <w:b/>
                <w:szCs w:val="24"/>
                <w:lang w:val="pt-PT"/>
              </w:rPr>
            </w:pPr>
            <w:r>
              <w:rPr>
                <w:b/>
                <w:szCs w:val="24"/>
                <w:lang w:val="pt-PT"/>
              </w:rPr>
              <w:t>FASE</w:t>
            </w:r>
            <w:r w:rsidRPr="0013686F">
              <w:rPr>
                <w:b/>
                <w:szCs w:val="24"/>
                <w:lang w:val="pt-PT"/>
              </w:rPr>
              <w:t xml:space="preserve"> 5</w:t>
            </w:r>
          </w:p>
          <w:p w:rsidR="008E73F3" w:rsidRPr="0013686F" w:rsidRDefault="008E73F3" w:rsidP="008E73F3">
            <w:pPr>
              <w:tabs>
                <w:tab w:val="num" w:pos="-17"/>
              </w:tabs>
              <w:ind w:right="183"/>
              <w:jc w:val="both"/>
              <w:rPr>
                <w:szCs w:val="24"/>
                <w:lang w:val="pt-PT"/>
              </w:rPr>
            </w:pPr>
            <w:r w:rsidRPr="0013686F">
              <w:rPr>
                <w:szCs w:val="24"/>
                <w:lang w:val="pt-PT"/>
              </w:rPr>
              <w:t xml:space="preserve">Finalmente, a fase de “Finalização” (M40-M42) irá concentrar-se na colocação em funcionamento dos resultados </w:t>
            </w:r>
            <w:r w:rsidR="00DA72DB">
              <w:rPr>
                <w:szCs w:val="24"/>
                <w:lang w:val="pt-PT"/>
              </w:rPr>
              <w:t xml:space="preserve">atingidos </w:t>
            </w:r>
            <w:r w:rsidRPr="0013686F">
              <w:rPr>
                <w:szCs w:val="24"/>
                <w:lang w:val="pt-PT"/>
              </w:rPr>
              <w:t>e no encerramento do projeto.</w:t>
            </w:r>
          </w:p>
          <w:p w:rsidR="008E73F3" w:rsidRPr="0013686F" w:rsidRDefault="008E73F3" w:rsidP="000E5327">
            <w:pPr>
              <w:tabs>
                <w:tab w:val="num" w:pos="-17"/>
              </w:tabs>
              <w:rPr>
                <w:szCs w:val="24"/>
                <w:lang w:val="pt-PT"/>
              </w:rPr>
            </w:pPr>
          </w:p>
        </w:tc>
      </w:tr>
    </w:tbl>
    <w:p w:rsidR="0088201E" w:rsidRDefault="0088201E" w:rsidP="00691C38">
      <w:pPr>
        <w:spacing w:line="360" w:lineRule="auto"/>
        <w:rPr>
          <w:lang w:val="pt-PT"/>
        </w:rPr>
      </w:pPr>
    </w:p>
    <w:p w:rsidR="008E73F3" w:rsidRPr="008E73F3" w:rsidRDefault="008E73F3" w:rsidP="008E73F3">
      <w:pPr>
        <w:spacing w:line="360" w:lineRule="auto"/>
        <w:rPr>
          <w:lang w:val="pt-PT"/>
        </w:rPr>
      </w:pPr>
      <w:r w:rsidRPr="008E73F3">
        <w:rPr>
          <w:lang w:val="pt-PT"/>
        </w:rPr>
        <w:t>[3ª página]</w:t>
      </w:r>
    </w:p>
    <w:p w:rsidR="008E73F3" w:rsidRDefault="008E73F3" w:rsidP="008E73F3">
      <w:pPr>
        <w:rPr>
          <w:lang w:val="pt-PT"/>
        </w:rPr>
      </w:pPr>
      <w:r>
        <w:rPr>
          <w:lang w:val="pt-PT"/>
        </w:rPr>
        <w:t>O consórcio</w:t>
      </w:r>
    </w:p>
    <w:p w:rsidR="008E73F3" w:rsidRDefault="008E73F3" w:rsidP="008E73F3">
      <w:pPr>
        <w:rPr>
          <w:lang w:val="pt-PT"/>
        </w:rPr>
      </w:pPr>
    </w:p>
    <w:p w:rsidR="008E73F3" w:rsidRDefault="008E73F3" w:rsidP="008E73F3">
      <w:pPr>
        <w:rPr>
          <w:lang w:val="pt-PT"/>
        </w:rPr>
      </w:pPr>
      <w:r>
        <w:rPr>
          <w:lang w:val="pt-PT"/>
        </w:rPr>
        <w:t>[imagem]</w:t>
      </w:r>
    </w:p>
    <w:p w:rsidR="008E73F3" w:rsidRDefault="008E73F3" w:rsidP="008E73F3">
      <w:pPr>
        <w:rPr>
          <w:lang w:val="pt-PT"/>
        </w:rPr>
      </w:pPr>
    </w:p>
    <w:p w:rsidR="008E73F3" w:rsidRDefault="008E73F3" w:rsidP="008E73F3">
      <w:pPr>
        <w:rPr>
          <w:lang w:val="pt-PT"/>
        </w:rPr>
      </w:pPr>
      <w:r>
        <w:rPr>
          <w:lang w:val="pt-PT"/>
        </w:rPr>
        <w:t>Coordenador</w:t>
      </w:r>
    </w:p>
    <w:p w:rsidR="008E73F3" w:rsidRDefault="008E73F3" w:rsidP="008E73F3">
      <w:pPr>
        <w:rPr>
          <w:lang w:val="pt-PT"/>
        </w:rPr>
      </w:pPr>
    </w:p>
    <w:p w:rsidR="008E73F3" w:rsidRDefault="008E73F3" w:rsidP="008E73F3">
      <w:pPr>
        <w:rPr>
          <w:lang w:val="pt-PT"/>
        </w:rPr>
      </w:pPr>
      <w:r>
        <w:rPr>
          <w:lang w:val="pt-PT"/>
        </w:rPr>
        <w:t>Parceiros</w:t>
      </w:r>
    </w:p>
    <w:p w:rsidR="008E73F3" w:rsidRDefault="008E73F3" w:rsidP="008E73F3">
      <w:pPr>
        <w:rPr>
          <w:lang w:val="pt-PT"/>
        </w:rPr>
      </w:pPr>
    </w:p>
    <w:p w:rsidR="008E73F3" w:rsidRDefault="008E73F3" w:rsidP="008E73F3">
      <w:pPr>
        <w:rPr>
          <w:lang w:val="pt-PT"/>
        </w:rPr>
      </w:pPr>
      <w:r>
        <w:rPr>
          <w:lang w:val="pt-PT"/>
        </w:rPr>
        <w:t>Duração: 42 meses</w:t>
      </w:r>
    </w:p>
    <w:p w:rsidR="008E73F3" w:rsidRDefault="008E73F3" w:rsidP="008E73F3">
      <w:pPr>
        <w:rPr>
          <w:lang w:val="pt-PT"/>
        </w:rPr>
      </w:pPr>
      <w:r>
        <w:rPr>
          <w:lang w:val="pt-PT"/>
        </w:rPr>
        <w:t xml:space="preserve">2016-09 </w:t>
      </w:r>
      <w:proofErr w:type="gramStart"/>
      <w:r>
        <w:rPr>
          <w:lang w:val="pt-PT"/>
        </w:rPr>
        <w:t>a</w:t>
      </w:r>
      <w:proofErr w:type="gramEnd"/>
      <w:r>
        <w:rPr>
          <w:lang w:val="pt-PT"/>
        </w:rPr>
        <w:t xml:space="preserve"> 2020-02</w:t>
      </w:r>
    </w:p>
    <w:p w:rsidR="008E73F3" w:rsidRDefault="008E73F3" w:rsidP="008E73F3">
      <w:pPr>
        <w:rPr>
          <w:lang w:val="pt-PT"/>
        </w:rPr>
      </w:pPr>
    </w:p>
    <w:p w:rsidR="008E73F3" w:rsidRDefault="008E73F3" w:rsidP="008E73F3">
      <w:pPr>
        <w:rPr>
          <w:lang w:val="pt-PT"/>
        </w:rPr>
      </w:pPr>
      <w:r>
        <w:rPr>
          <w:lang w:val="pt-PT"/>
        </w:rPr>
        <w:t>Número do Acordo de Subvenção</w:t>
      </w:r>
    </w:p>
    <w:p w:rsidR="008E73F3" w:rsidRPr="004C2874" w:rsidRDefault="008E73F3" w:rsidP="008E73F3">
      <w:pPr>
        <w:spacing w:line="360" w:lineRule="auto"/>
        <w:rPr>
          <w:lang w:val="pt-PT"/>
        </w:rPr>
      </w:pPr>
      <w:r w:rsidRPr="004C2874">
        <w:rPr>
          <w:lang w:val="pt-PT"/>
        </w:rPr>
        <w:t>[4ª página]</w:t>
      </w:r>
    </w:p>
    <w:p w:rsidR="008E73F3" w:rsidRDefault="008E73F3" w:rsidP="00691C38">
      <w:pPr>
        <w:spacing w:line="360" w:lineRule="auto"/>
        <w:rPr>
          <w:lang w:val="pt-PT"/>
        </w:rPr>
      </w:pPr>
    </w:p>
    <w:p w:rsidR="008E73F3" w:rsidRDefault="008E73F3" w:rsidP="00691C38">
      <w:pPr>
        <w:spacing w:line="360" w:lineRule="auto"/>
        <w:rPr>
          <w:lang w:val="pt-PT"/>
        </w:rPr>
      </w:pPr>
      <w:r>
        <w:rPr>
          <w:lang w:val="pt-PT"/>
        </w:rPr>
        <w:t>Coordenador do projeto</w:t>
      </w:r>
    </w:p>
    <w:p w:rsidR="008E73F3" w:rsidRDefault="008E73F3" w:rsidP="00691C38">
      <w:pPr>
        <w:spacing w:line="360" w:lineRule="auto"/>
        <w:rPr>
          <w:lang w:val="pt-PT"/>
        </w:rPr>
      </w:pPr>
    </w:p>
    <w:p w:rsidR="008E73F3" w:rsidRDefault="008E73F3" w:rsidP="00691C38">
      <w:pPr>
        <w:spacing w:line="360" w:lineRule="auto"/>
        <w:rPr>
          <w:lang w:val="pt-PT"/>
        </w:rPr>
      </w:pPr>
    </w:p>
    <w:p w:rsidR="00AF5950" w:rsidRPr="00B073A2" w:rsidRDefault="00AF5950" w:rsidP="00AF5950">
      <w:pPr>
        <w:jc w:val="both"/>
        <w:rPr>
          <w:lang w:val="pt-PT"/>
        </w:rPr>
      </w:pPr>
      <w:r>
        <w:rPr>
          <w:lang w:val="pt-PT"/>
        </w:rPr>
        <w:t>Este projeto recebeu fina</w:t>
      </w:r>
      <w:r w:rsidRPr="00B073A2">
        <w:rPr>
          <w:lang w:val="pt-PT"/>
        </w:rPr>
        <w:t xml:space="preserve">nciamento do </w:t>
      </w:r>
      <w:r>
        <w:rPr>
          <w:lang w:val="pt-PT"/>
        </w:rPr>
        <w:t>Programa da União Europeia para a Investi</w:t>
      </w:r>
      <w:r w:rsidR="004C2874">
        <w:rPr>
          <w:lang w:val="pt-PT"/>
        </w:rPr>
        <w:t>gação e Inovação – Horizonte 202</w:t>
      </w:r>
      <w:r>
        <w:rPr>
          <w:lang w:val="pt-PT"/>
        </w:rPr>
        <w:t>0</w:t>
      </w:r>
      <w:r w:rsidR="004C2874">
        <w:rPr>
          <w:lang w:val="pt-PT"/>
        </w:rPr>
        <w:t>,</w:t>
      </w:r>
      <w:r>
        <w:rPr>
          <w:lang w:val="pt-PT"/>
        </w:rPr>
        <w:t xml:space="preserve"> ao abrigo do acordo de subvenção nº </w:t>
      </w:r>
      <w:r w:rsidRPr="00B073A2">
        <w:rPr>
          <w:lang w:val="pt-PT"/>
        </w:rPr>
        <w:t>700381.</w:t>
      </w:r>
    </w:p>
    <w:p w:rsidR="00466566" w:rsidRPr="00A42F5F" w:rsidRDefault="00E507AC" w:rsidP="00AF5950">
      <w:pPr>
        <w:jc w:val="both"/>
        <w:rPr>
          <w:lang w:val="pt-PT"/>
        </w:rPr>
      </w:pPr>
      <w:r>
        <w:rPr>
          <w:rFonts w:ascii="Helvetica" w:hAnsi="Helvetica" w:cs="Helvetica"/>
          <w:color w:val="141412"/>
          <w:shd w:val="clear" w:color="auto" w:fill="FFFFFF"/>
          <w:lang w:val="pt-PT"/>
        </w:rPr>
        <w:t xml:space="preserve"> </w:t>
      </w:r>
    </w:p>
    <w:p w:rsidR="00466566" w:rsidRDefault="00466566" w:rsidP="00AF5950">
      <w:pPr>
        <w:jc w:val="both"/>
        <w:rPr>
          <w:lang w:val="pt-PT"/>
        </w:rPr>
      </w:pPr>
    </w:p>
    <w:p w:rsidR="00E507AC" w:rsidRDefault="00E507AC" w:rsidP="00AF5950">
      <w:pPr>
        <w:jc w:val="both"/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p w:rsidR="00E507AC" w:rsidRDefault="00E507AC" w:rsidP="00530AC8">
      <w:pPr>
        <w:rPr>
          <w:lang w:val="pt-PT"/>
        </w:rPr>
      </w:pPr>
    </w:p>
    <w:sectPr w:rsidR="00E507AC" w:rsidSect="00E32119">
      <w:headerReference w:type="default" r:id="rId8"/>
      <w:footerReference w:type="default" r:id="rId9"/>
      <w:pgSz w:w="11907" w:h="16840" w:code="9"/>
      <w:pgMar w:top="2693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F2" w:rsidRPr="00C01C6F" w:rsidRDefault="001338F2">
      <w:pPr>
        <w:rPr>
          <w:i/>
          <w:iCs/>
          <w:sz w:val="16"/>
          <w:szCs w:val="16"/>
        </w:rPr>
      </w:pPr>
      <w:r>
        <w:separator/>
      </w:r>
    </w:p>
  </w:endnote>
  <w:endnote w:type="continuationSeparator" w:id="0">
    <w:p w:rsidR="001338F2" w:rsidRPr="00C01C6F" w:rsidRDefault="001338F2">
      <w:pPr>
        <w:rPr>
          <w:i/>
          <w:iCs/>
          <w:sz w:val="16"/>
          <w:szCs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03" w:rsidRPr="003149A6" w:rsidRDefault="00070103" w:rsidP="003149A6">
    <w:pPr>
      <w:pStyle w:val="Rodap"/>
      <w:jc w:val="right"/>
      <w:rPr>
        <w:rFonts w:ascii="Microsoft Himalaya" w:hAnsi="Microsoft Himalaya" w:cs="Microsoft Himalaya"/>
        <w:lang w:val="en-US"/>
      </w:rPr>
    </w:pPr>
    <w:r>
      <w:rPr>
        <w:rFonts w:ascii="Microsoft Himalaya" w:hAnsi="Microsoft Himalaya" w:cs="Microsoft Himalaya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F2" w:rsidRPr="00C01C6F" w:rsidRDefault="001338F2">
      <w:pPr>
        <w:rPr>
          <w:i/>
          <w:iCs/>
          <w:sz w:val="16"/>
          <w:szCs w:val="16"/>
        </w:rPr>
      </w:pPr>
      <w:r>
        <w:separator/>
      </w:r>
    </w:p>
  </w:footnote>
  <w:footnote w:type="continuationSeparator" w:id="0">
    <w:p w:rsidR="001338F2" w:rsidRPr="00C01C6F" w:rsidRDefault="001338F2">
      <w:pPr>
        <w:rPr>
          <w:i/>
          <w:iCs/>
          <w:sz w:val="16"/>
          <w:szCs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03" w:rsidRDefault="00070103" w:rsidP="00DD7075">
    <w:pPr>
      <w:framePr w:w="5717" w:h="2308" w:hRule="exact" w:hSpace="851" w:vSpace="249" w:wrap="around" w:vAnchor="page" w:hAnchor="page" w:x="3146" w:y="185"/>
      <w:jc w:val="center"/>
      <w:rPr>
        <w:position w:val="24"/>
        <w:sz w:val="18"/>
      </w:rPr>
    </w:pPr>
  </w:p>
  <w:p w:rsidR="00070103" w:rsidRPr="00151713" w:rsidRDefault="00070103" w:rsidP="00DD7075">
    <w:pPr>
      <w:framePr w:w="5717" w:h="2308" w:hRule="exact" w:hSpace="851" w:vSpace="249" w:wrap="around" w:vAnchor="page" w:hAnchor="page" w:x="3146" w:y="185"/>
      <w:jc w:val="center"/>
      <w:rPr>
        <w:position w:val="24"/>
        <w:sz w:val="18"/>
        <w:lang w:val="pt-PT"/>
      </w:rPr>
    </w:pPr>
    <w:r w:rsidRPr="00151713">
      <w:rPr>
        <w:position w:val="24"/>
        <w:sz w:val="18"/>
        <w:lang w:val="pt-PT"/>
      </w:rPr>
      <w:t>S</w:t>
    </w:r>
    <w:r w:rsidRPr="00151713">
      <w:rPr>
        <w:position w:val="22"/>
        <w:sz w:val="18"/>
        <w:lang w:val="pt-PT"/>
      </w:rPr>
      <w:t>.</w:t>
    </w:r>
    <w:r>
      <w:object w:dxaOrig="1022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3.75pt" o:ole="">
          <v:imagedata r:id="rId1" o:title=""/>
        </v:shape>
        <o:OLEObject Type="Embed" ProgID="Word.Document.8" ShapeID="_x0000_i1025" DrawAspect="Content" ObjectID="_1578404812" r:id="rId2"/>
      </w:object>
    </w:r>
    <w:r w:rsidRPr="00151713">
      <w:rPr>
        <w:position w:val="24"/>
        <w:sz w:val="18"/>
        <w:lang w:val="pt-PT"/>
      </w:rPr>
      <w:t>R.</w:t>
    </w:r>
  </w:p>
  <w:p w:rsidR="00070103" w:rsidRPr="00DD7075" w:rsidRDefault="00070103" w:rsidP="00DD7075">
    <w:pPr>
      <w:framePr w:w="5717" w:h="2308" w:hRule="exact" w:hSpace="851" w:vSpace="249" w:wrap="around" w:vAnchor="page" w:hAnchor="page" w:x="3146" w:y="185"/>
      <w:jc w:val="center"/>
      <w:rPr>
        <w:rFonts w:ascii="Arial" w:hAnsi="Arial"/>
        <w:sz w:val="16"/>
        <w:lang w:val="pt-PT"/>
      </w:rPr>
    </w:pPr>
    <w:r w:rsidRPr="00151713">
      <w:rPr>
        <w:rFonts w:ascii="Arial" w:hAnsi="Arial"/>
        <w:sz w:val="16"/>
        <w:lang w:val="pt-PT"/>
      </w:rPr>
      <w:t xml:space="preserve"> </w:t>
    </w:r>
    <w:r w:rsidRPr="00DD7075">
      <w:rPr>
        <w:rFonts w:ascii="Arial" w:hAnsi="Arial"/>
        <w:sz w:val="16"/>
        <w:lang w:val="pt-PT"/>
      </w:rPr>
      <w:t>MINISTÉRIO DA JUSTIÇA</w:t>
    </w:r>
  </w:p>
  <w:p w:rsidR="00070103" w:rsidRPr="00DD7075" w:rsidRDefault="00070103" w:rsidP="00DD7075">
    <w:pPr>
      <w:framePr w:w="5717" w:h="2308" w:hRule="exact" w:hSpace="851" w:vSpace="249" w:wrap="around" w:vAnchor="page" w:hAnchor="page" w:x="3146" w:y="185"/>
      <w:jc w:val="center"/>
      <w:rPr>
        <w:sz w:val="16"/>
        <w:lang w:val="pt-PT"/>
      </w:rPr>
    </w:pPr>
  </w:p>
  <w:p w:rsidR="00070103" w:rsidRPr="00DD7075" w:rsidRDefault="00070103" w:rsidP="00DD7075">
    <w:pPr>
      <w:framePr w:w="5717" w:h="2308" w:hRule="exact" w:hSpace="851" w:vSpace="249" w:wrap="around" w:vAnchor="page" w:hAnchor="page" w:x="3146" w:y="185"/>
      <w:jc w:val="center"/>
      <w:rPr>
        <w:rFonts w:ascii="Arial" w:hAnsi="Arial"/>
        <w:sz w:val="28"/>
        <w:lang w:val="pt-PT"/>
      </w:rPr>
    </w:pPr>
    <w:r w:rsidRPr="00DD7075">
      <w:rPr>
        <w:rFonts w:ascii="Arial" w:hAnsi="Arial"/>
        <w:sz w:val="28"/>
        <w:lang w:val="pt-PT"/>
      </w:rPr>
      <w:t>POLÍCIA JUDICIÁRIA</w:t>
    </w:r>
  </w:p>
  <w:p w:rsidR="00070103" w:rsidRPr="00DD7075" w:rsidRDefault="00070103" w:rsidP="00DD7075">
    <w:pPr>
      <w:framePr w:w="5717" w:h="2308" w:hRule="exact" w:hSpace="851" w:vSpace="249" w:wrap="around" w:vAnchor="page" w:hAnchor="page" w:x="3146" w:y="185"/>
      <w:jc w:val="center"/>
      <w:rPr>
        <w:rFonts w:ascii="Arial" w:hAnsi="Arial"/>
        <w:sz w:val="16"/>
        <w:lang w:val="pt-PT"/>
      </w:rPr>
    </w:pPr>
  </w:p>
  <w:p w:rsidR="00070103" w:rsidRPr="00DD7075" w:rsidRDefault="00070103" w:rsidP="00DD7075">
    <w:pPr>
      <w:framePr w:w="5717" w:h="2308" w:hRule="exact" w:hSpace="851" w:vSpace="249" w:wrap="around" w:vAnchor="page" w:hAnchor="page" w:x="3146" w:y="185"/>
      <w:jc w:val="center"/>
      <w:rPr>
        <w:lang w:val="pt-PT"/>
      </w:rPr>
    </w:pPr>
    <w:r w:rsidRPr="00DD7075">
      <w:rPr>
        <w:rFonts w:ascii="Arial" w:hAnsi="Arial"/>
        <w:sz w:val="16"/>
        <w:lang w:val="pt-PT"/>
      </w:rPr>
      <w:t>UNIDADE DE PLANEAMENTO, ASSESSORIA TÉCNICA E DOCUMENTAÇÃO</w:t>
    </w:r>
  </w:p>
  <w:p w:rsidR="00070103" w:rsidRPr="00DD7075" w:rsidRDefault="00070103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450"/>
    <w:multiLevelType w:val="hybridMultilevel"/>
    <w:tmpl w:val="942CC6C4"/>
    <w:lvl w:ilvl="0" w:tplc="92C64CEE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2476"/>
    <w:multiLevelType w:val="hybridMultilevel"/>
    <w:tmpl w:val="0ED8F1D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1A2"/>
    <w:multiLevelType w:val="hybridMultilevel"/>
    <w:tmpl w:val="D22A4176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A41377"/>
    <w:multiLevelType w:val="hybridMultilevel"/>
    <w:tmpl w:val="00E25E6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322F1"/>
    <w:multiLevelType w:val="hybridMultilevel"/>
    <w:tmpl w:val="4F6A20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82CFD"/>
    <w:multiLevelType w:val="hybridMultilevel"/>
    <w:tmpl w:val="1FB01D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0224"/>
    <w:multiLevelType w:val="hybridMultilevel"/>
    <w:tmpl w:val="7AF8F4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2534D"/>
    <w:multiLevelType w:val="hybridMultilevel"/>
    <w:tmpl w:val="CCE068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F7"/>
    <w:rsid w:val="000038F7"/>
    <w:rsid w:val="00070103"/>
    <w:rsid w:val="00075B79"/>
    <w:rsid w:val="00081FC6"/>
    <w:rsid w:val="00084590"/>
    <w:rsid w:val="000F2B7E"/>
    <w:rsid w:val="00113FAA"/>
    <w:rsid w:val="001166E0"/>
    <w:rsid w:val="001338F2"/>
    <w:rsid w:val="00151713"/>
    <w:rsid w:val="001518C3"/>
    <w:rsid w:val="001655DA"/>
    <w:rsid w:val="0019011F"/>
    <w:rsid w:val="00196B26"/>
    <w:rsid w:val="001C24EF"/>
    <w:rsid w:val="001D291E"/>
    <w:rsid w:val="002165DF"/>
    <w:rsid w:val="00223345"/>
    <w:rsid w:val="00240C8C"/>
    <w:rsid w:val="002657C4"/>
    <w:rsid w:val="00273A34"/>
    <w:rsid w:val="0029570E"/>
    <w:rsid w:val="002B426A"/>
    <w:rsid w:val="002B6A5E"/>
    <w:rsid w:val="002C1E98"/>
    <w:rsid w:val="002D1476"/>
    <w:rsid w:val="002D5FA3"/>
    <w:rsid w:val="002E1BEC"/>
    <w:rsid w:val="002E73C1"/>
    <w:rsid w:val="002F598D"/>
    <w:rsid w:val="003149A6"/>
    <w:rsid w:val="003158DC"/>
    <w:rsid w:val="00316437"/>
    <w:rsid w:val="00336705"/>
    <w:rsid w:val="00354288"/>
    <w:rsid w:val="00354475"/>
    <w:rsid w:val="003A428B"/>
    <w:rsid w:val="003C19D6"/>
    <w:rsid w:val="003D54C1"/>
    <w:rsid w:val="00411D9E"/>
    <w:rsid w:val="00422BF6"/>
    <w:rsid w:val="00424D01"/>
    <w:rsid w:val="0042695B"/>
    <w:rsid w:val="00437F7E"/>
    <w:rsid w:val="00440487"/>
    <w:rsid w:val="0044745E"/>
    <w:rsid w:val="004507C8"/>
    <w:rsid w:val="00451316"/>
    <w:rsid w:val="00466566"/>
    <w:rsid w:val="004C2874"/>
    <w:rsid w:val="004D728D"/>
    <w:rsid w:val="004E3567"/>
    <w:rsid w:val="005018DE"/>
    <w:rsid w:val="005163DA"/>
    <w:rsid w:val="005172F3"/>
    <w:rsid w:val="005205C1"/>
    <w:rsid w:val="00530AC8"/>
    <w:rsid w:val="0053269A"/>
    <w:rsid w:val="00583658"/>
    <w:rsid w:val="00610C47"/>
    <w:rsid w:val="006221A6"/>
    <w:rsid w:val="006229AA"/>
    <w:rsid w:val="00623259"/>
    <w:rsid w:val="006241F6"/>
    <w:rsid w:val="00632CBD"/>
    <w:rsid w:val="0064566C"/>
    <w:rsid w:val="00651ED4"/>
    <w:rsid w:val="006805EF"/>
    <w:rsid w:val="0068303D"/>
    <w:rsid w:val="00691C38"/>
    <w:rsid w:val="006978B0"/>
    <w:rsid w:val="006A6482"/>
    <w:rsid w:val="006A775D"/>
    <w:rsid w:val="006C1739"/>
    <w:rsid w:val="006C7589"/>
    <w:rsid w:val="006D6ECC"/>
    <w:rsid w:val="006E0F44"/>
    <w:rsid w:val="0076733C"/>
    <w:rsid w:val="007806AE"/>
    <w:rsid w:val="00784C2E"/>
    <w:rsid w:val="0079493E"/>
    <w:rsid w:val="007979E7"/>
    <w:rsid w:val="007A7611"/>
    <w:rsid w:val="007B0AB1"/>
    <w:rsid w:val="007F03F3"/>
    <w:rsid w:val="00802349"/>
    <w:rsid w:val="00804AD2"/>
    <w:rsid w:val="008107A0"/>
    <w:rsid w:val="00831DAF"/>
    <w:rsid w:val="00837C73"/>
    <w:rsid w:val="0085110D"/>
    <w:rsid w:val="00851D14"/>
    <w:rsid w:val="00853FCE"/>
    <w:rsid w:val="00870E6A"/>
    <w:rsid w:val="0087405F"/>
    <w:rsid w:val="008756BE"/>
    <w:rsid w:val="0088201E"/>
    <w:rsid w:val="008A6828"/>
    <w:rsid w:val="008C37F9"/>
    <w:rsid w:val="008D68F3"/>
    <w:rsid w:val="008E5D8D"/>
    <w:rsid w:val="008E73F3"/>
    <w:rsid w:val="00950B0C"/>
    <w:rsid w:val="00951327"/>
    <w:rsid w:val="00960365"/>
    <w:rsid w:val="00963539"/>
    <w:rsid w:val="00964B43"/>
    <w:rsid w:val="00964D32"/>
    <w:rsid w:val="00964F5A"/>
    <w:rsid w:val="00967FA0"/>
    <w:rsid w:val="009729BC"/>
    <w:rsid w:val="00973BC8"/>
    <w:rsid w:val="00985B1F"/>
    <w:rsid w:val="00990E80"/>
    <w:rsid w:val="00993684"/>
    <w:rsid w:val="00994D4E"/>
    <w:rsid w:val="009A25B1"/>
    <w:rsid w:val="009C05D3"/>
    <w:rsid w:val="009D7922"/>
    <w:rsid w:val="009E37FB"/>
    <w:rsid w:val="009F4FD2"/>
    <w:rsid w:val="009F52F6"/>
    <w:rsid w:val="00A03149"/>
    <w:rsid w:val="00A11828"/>
    <w:rsid w:val="00A31B60"/>
    <w:rsid w:val="00A42F5F"/>
    <w:rsid w:val="00A50430"/>
    <w:rsid w:val="00A82945"/>
    <w:rsid w:val="00AA17DF"/>
    <w:rsid w:val="00AA6D11"/>
    <w:rsid w:val="00AF5950"/>
    <w:rsid w:val="00B16E7C"/>
    <w:rsid w:val="00B41421"/>
    <w:rsid w:val="00BA1526"/>
    <w:rsid w:val="00BC32FD"/>
    <w:rsid w:val="00BD7775"/>
    <w:rsid w:val="00C15ABC"/>
    <w:rsid w:val="00C178BC"/>
    <w:rsid w:val="00C3408A"/>
    <w:rsid w:val="00C5173C"/>
    <w:rsid w:val="00C55399"/>
    <w:rsid w:val="00C56498"/>
    <w:rsid w:val="00C82265"/>
    <w:rsid w:val="00C96373"/>
    <w:rsid w:val="00CB0376"/>
    <w:rsid w:val="00CB44E5"/>
    <w:rsid w:val="00D12F12"/>
    <w:rsid w:val="00D36433"/>
    <w:rsid w:val="00D76F8C"/>
    <w:rsid w:val="00DA1F24"/>
    <w:rsid w:val="00DA72DB"/>
    <w:rsid w:val="00DB7E79"/>
    <w:rsid w:val="00DD7075"/>
    <w:rsid w:val="00DE3517"/>
    <w:rsid w:val="00DE41C9"/>
    <w:rsid w:val="00E05DB8"/>
    <w:rsid w:val="00E32119"/>
    <w:rsid w:val="00E37323"/>
    <w:rsid w:val="00E4624E"/>
    <w:rsid w:val="00E507AC"/>
    <w:rsid w:val="00E72250"/>
    <w:rsid w:val="00EC2780"/>
    <w:rsid w:val="00ED5764"/>
    <w:rsid w:val="00F01C00"/>
    <w:rsid w:val="00F1014B"/>
    <w:rsid w:val="00F3600F"/>
    <w:rsid w:val="00F41BB5"/>
    <w:rsid w:val="00F70119"/>
    <w:rsid w:val="00F762FE"/>
    <w:rsid w:val="00F9419E"/>
    <w:rsid w:val="00F954A6"/>
    <w:rsid w:val="00FA0095"/>
    <w:rsid w:val="00FA15BA"/>
    <w:rsid w:val="00FA1F4A"/>
    <w:rsid w:val="00FB7E27"/>
    <w:rsid w:val="00FE0C13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28D64B-205C-4AB7-BD09-02E5328C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table" w:styleId="Tabelacomgrelha">
    <w:name w:val="Table Grid"/>
    <w:basedOn w:val="Tabelanormal"/>
    <w:rsid w:val="00C8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05D3"/>
    <w:pPr>
      <w:ind w:left="720"/>
      <w:contextualSpacing/>
    </w:pPr>
  </w:style>
  <w:style w:type="paragraph" w:styleId="Data">
    <w:name w:val="Date"/>
    <w:basedOn w:val="Normal"/>
    <w:next w:val="Normal"/>
    <w:link w:val="DataCarter"/>
    <w:rsid w:val="00802349"/>
  </w:style>
  <w:style w:type="character" w:customStyle="1" w:styleId="DataCarter">
    <w:name w:val="Data Caráter"/>
    <w:basedOn w:val="Tipodeletrapredefinidodopargrafo"/>
    <w:link w:val="Data"/>
    <w:rsid w:val="00802349"/>
    <w:rPr>
      <w:sz w:val="24"/>
      <w:lang w:val="en-GB"/>
    </w:rPr>
  </w:style>
  <w:style w:type="character" w:styleId="Hiperligao">
    <w:name w:val="Hyperlink"/>
    <w:basedOn w:val="Tipodeletrapredefinidodopargrafo"/>
    <w:rsid w:val="008D68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rsid w:val="00D76F8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76F8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C259-574E-48C8-B7DA-D0AFF5E1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POLICIA JUDICIARIA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Esteves</dc:creator>
  <cp:lastModifiedBy>Paula Gois</cp:lastModifiedBy>
  <cp:revision>2</cp:revision>
  <cp:lastPrinted>2016-10-12T08:48:00Z</cp:lastPrinted>
  <dcterms:created xsi:type="dcterms:W3CDTF">2018-01-25T17:00:00Z</dcterms:created>
  <dcterms:modified xsi:type="dcterms:W3CDTF">2018-01-25T17:00:00Z</dcterms:modified>
</cp:coreProperties>
</file>