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D3A6D" w14:textId="77777777" w:rsidR="00635DCC" w:rsidRDefault="00635DCC" w:rsidP="00283620">
      <w:pPr>
        <w:jc w:val="center"/>
      </w:pPr>
      <w:bookmarkStart w:id="0" w:name="_GoBack"/>
      <w:bookmarkEnd w:id="0"/>
      <w:r w:rsidRPr="00635DCC">
        <w:rPr>
          <w:noProof/>
          <w:lang w:val="pt-PT" w:eastAsia="pt-PT"/>
        </w:rPr>
        <w:drawing>
          <wp:inline distT="0" distB="0" distL="0" distR="0" wp14:anchorId="21D5F12B" wp14:editId="2791C4AE">
            <wp:extent cx="2362200" cy="2362200"/>
            <wp:effectExtent l="0" t="0" r="0" b="0"/>
            <wp:docPr id="5" name="Picture 5" descr="C:\Users\jarraiza\AppData\Local\Temp\Temp1_ASGARD_LOGOS.zip\ASGARDNewTx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raiza\AppData\Local\Temp\Temp1_ASGARD_LOGOS.zip\ASGARDNewTxi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7226B" w14:textId="77777777" w:rsidR="00635DCC" w:rsidRDefault="00635DCC" w:rsidP="00283620">
      <w:pPr>
        <w:jc w:val="center"/>
      </w:pPr>
    </w:p>
    <w:p w14:paraId="39302CE7" w14:textId="77777777" w:rsidR="00635DCC" w:rsidRPr="00BB6655" w:rsidRDefault="00635DCC" w:rsidP="00283620">
      <w:pPr>
        <w:jc w:val="center"/>
      </w:pPr>
      <w:r w:rsidRPr="00BB6655">
        <w:rPr>
          <w:sz w:val="48"/>
        </w:rPr>
        <w:t>A</w:t>
      </w:r>
      <w:r w:rsidRPr="00B40D71">
        <w:rPr>
          <w:sz w:val="36"/>
        </w:rPr>
        <w:t xml:space="preserve">nalysis </w:t>
      </w:r>
      <w:r w:rsidRPr="00BB6655">
        <w:rPr>
          <w:sz w:val="48"/>
        </w:rPr>
        <w:t>S</w:t>
      </w:r>
      <w:r w:rsidRPr="00B40D71">
        <w:rPr>
          <w:sz w:val="36"/>
        </w:rPr>
        <w:t xml:space="preserve">ystem for </w:t>
      </w:r>
      <w:r w:rsidRPr="00BB6655">
        <w:rPr>
          <w:sz w:val="48"/>
        </w:rPr>
        <w:t>G</w:t>
      </w:r>
      <w:r w:rsidR="0021536B" w:rsidRPr="00BB6655">
        <w:rPr>
          <w:sz w:val="48"/>
        </w:rPr>
        <w:t>A</w:t>
      </w:r>
      <w:r w:rsidRPr="00B40D71">
        <w:rPr>
          <w:sz w:val="36"/>
        </w:rPr>
        <w:t xml:space="preserve">thered </w:t>
      </w:r>
      <w:r w:rsidRPr="00BB6655">
        <w:rPr>
          <w:sz w:val="48"/>
        </w:rPr>
        <w:t>R</w:t>
      </w:r>
      <w:r w:rsidRPr="00B40D71">
        <w:rPr>
          <w:sz w:val="36"/>
        </w:rPr>
        <w:t xml:space="preserve">aw </w:t>
      </w:r>
      <w:r w:rsidRPr="00BB6655">
        <w:rPr>
          <w:sz w:val="48"/>
        </w:rPr>
        <w:t>D</w:t>
      </w:r>
      <w:r w:rsidRPr="00B40D71">
        <w:rPr>
          <w:sz w:val="36"/>
        </w:rPr>
        <w:t>ata</w:t>
      </w:r>
    </w:p>
    <w:p w14:paraId="08375F15" w14:textId="097E7AAA" w:rsidR="0021536B" w:rsidRPr="00B40D71" w:rsidRDefault="0021536B" w:rsidP="00283620">
      <w:pPr>
        <w:jc w:val="center"/>
      </w:pPr>
      <w:r w:rsidRPr="00B40D71">
        <w:t xml:space="preserve">ASGARD is a project that has received funding from the European Union’s Horizon 2020 - Research and Innovation Framework Programme, under grant agreement no </w:t>
      </w:r>
      <w:r w:rsidR="00BB6655" w:rsidRPr="00B40D71">
        <w:t>700381</w:t>
      </w:r>
      <w:r w:rsidRPr="00B40D71">
        <w:t>.</w:t>
      </w:r>
    </w:p>
    <w:p w14:paraId="229641E6" w14:textId="77777777" w:rsidR="00414B5A" w:rsidRDefault="00414B5A" w:rsidP="00283620"/>
    <w:p w14:paraId="4451966D" w14:textId="77777777" w:rsidR="00BB6655" w:rsidRDefault="00BB6655" w:rsidP="00283620"/>
    <w:p w14:paraId="0904AC3E" w14:textId="6CDDCE6D" w:rsidR="00BB6655" w:rsidRPr="00BB6655" w:rsidRDefault="00414B5A" w:rsidP="00B40D71">
      <w:pPr>
        <w:jc w:val="center"/>
        <w:rPr>
          <w:sz w:val="40"/>
        </w:rPr>
      </w:pPr>
      <w:r>
        <w:rPr>
          <w:sz w:val="48"/>
        </w:rPr>
        <w:t>PROJECT OVERVIEW</w:t>
      </w:r>
    </w:p>
    <w:tbl>
      <w:tblPr>
        <w:tblStyle w:val="Tabelacomgrelha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BB6655" w14:paraId="294F1B8C" w14:textId="77777777" w:rsidTr="00B40D71">
        <w:tc>
          <w:tcPr>
            <w:tcW w:w="2263" w:type="dxa"/>
            <w:shd w:val="clear" w:color="auto" w:fill="BDD6EE" w:themeFill="accent1" w:themeFillTint="66"/>
          </w:tcPr>
          <w:p w14:paraId="1350756E" w14:textId="77777777" w:rsidR="00BB6655" w:rsidRPr="00B40D71" w:rsidRDefault="00BB6655" w:rsidP="00283620">
            <w:pPr>
              <w:rPr>
                <w:b/>
              </w:rPr>
            </w:pPr>
            <w:r w:rsidRPr="00B40D71">
              <w:rPr>
                <w:b/>
              </w:rPr>
              <w:t>Version:</w:t>
            </w:r>
          </w:p>
        </w:tc>
        <w:tc>
          <w:tcPr>
            <w:tcW w:w="6753" w:type="dxa"/>
            <w:gridSpan w:val="2"/>
          </w:tcPr>
          <w:p w14:paraId="10B5CB90" w14:textId="7FA64267" w:rsidR="00BB6655" w:rsidRDefault="00414B5A" w:rsidP="00283620">
            <w:r>
              <w:t>1.0</w:t>
            </w:r>
          </w:p>
        </w:tc>
      </w:tr>
      <w:tr w:rsidR="00BB6655" w14:paraId="0416F5B7" w14:textId="77777777" w:rsidTr="00B40D71">
        <w:tc>
          <w:tcPr>
            <w:tcW w:w="2263" w:type="dxa"/>
            <w:shd w:val="clear" w:color="auto" w:fill="BDD6EE" w:themeFill="accent1" w:themeFillTint="66"/>
          </w:tcPr>
          <w:p w14:paraId="5AE0813B" w14:textId="77777777" w:rsidR="00BB6655" w:rsidRPr="00B40D71" w:rsidRDefault="00BB6655" w:rsidP="00283620">
            <w:pPr>
              <w:rPr>
                <w:b/>
              </w:rPr>
            </w:pPr>
            <w:r w:rsidRPr="00B40D71">
              <w:rPr>
                <w:b/>
              </w:rPr>
              <w:t>Delivery date:</w:t>
            </w:r>
          </w:p>
        </w:tc>
        <w:tc>
          <w:tcPr>
            <w:tcW w:w="6753" w:type="dxa"/>
            <w:gridSpan w:val="2"/>
          </w:tcPr>
          <w:p w14:paraId="71CA9730" w14:textId="236F6898" w:rsidR="00BB6655" w:rsidRDefault="00414B5A" w:rsidP="00283620">
            <w:r>
              <w:t>2016-11-10</w:t>
            </w:r>
          </w:p>
        </w:tc>
      </w:tr>
      <w:tr w:rsidR="00BB6655" w14:paraId="04BB26A7" w14:textId="77777777" w:rsidTr="00B40D71">
        <w:tc>
          <w:tcPr>
            <w:tcW w:w="2263" w:type="dxa"/>
            <w:shd w:val="clear" w:color="auto" w:fill="BDD6EE" w:themeFill="accent1" w:themeFillTint="66"/>
          </w:tcPr>
          <w:p w14:paraId="7FDD28E5" w14:textId="77777777" w:rsidR="00BB6655" w:rsidRPr="00B40D71" w:rsidRDefault="00BB6655" w:rsidP="00283620">
            <w:pPr>
              <w:rPr>
                <w:b/>
              </w:rPr>
            </w:pPr>
            <w:r w:rsidRPr="00B40D71">
              <w:rPr>
                <w:b/>
              </w:rPr>
              <w:t>Dissemination level:</w:t>
            </w:r>
          </w:p>
        </w:tc>
        <w:tc>
          <w:tcPr>
            <w:tcW w:w="6753" w:type="dxa"/>
            <w:gridSpan w:val="2"/>
          </w:tcPr>
          <w:p w14:paraId="6276DAF7" w14:textId="7C8F045B" w:rsidR="00BB6655" w:rsidRDefault="00414B5A" w:rsidP="00283620">
            <w:r>
              <w:t>Public</w:t>
            </w:r>
          </w:p>
        </w:tc>
      </w:tr>
      <w:tr w:rsidR="00BB6655" w14:paraId="2512E08C" w14:textId="77777777" w:rsidTr="00B40D71">
        <w:tc>
          <w:tcPr>
            <w:tcW w:w="2263" w:type="dxa"/>
            <w:shd w:val="clear" w:color="auto" w:fill="BDD6EE" w:themeFill="accent1" w:themeFillTint="66"/>
          </w:tcPr>
          <w:p w14:paraId="1AC67DE2" w14:textId="77777777" w:rsidR="00BB6655" w:rsidRPr="00B40D71" w:rsidRDefault="00BB6655" w:rsidP="00283620">
            <w:pPr>
              <w:rPr>
                <w:b/>
              </w:rPr>
            </w:pPr>
            <w:r w:rsidRPr="00B40D71">
              <w:rPr>
                <w:b/>
              </w:rPr>
              <w:t>Author(s):</w:t>
            </w:r>
          </w:p>
        </w:tc>
        <w:tc>
          <w:tcPr>
            <w:tcW w:w="3747" w:type="dxa"/>
          </w:tcPr>
          <w:p w14:paraId="4BD7F6D5" w14:textId="1D95CE5B" w:rsidR="00BB6655" w:rsidRDefault="00414B5A" w:rsidP="00283620">
            <w:r>
              <w:t>Juan Arraiza</w:t>
            </w:r>
          </w:p>
        </w:tc>
        <w:tc>
          <w:tcPr>
            <w:tcW w:w="3006" w:type="dxa"/>
          </w:tcPr>
          <w:p w14:paraId="372517E8" w14:textId="64804363" w:rsidR="00BB6655" w:rsidRDefault="00414B5A" w:rsidP="00283620">
            <w:r>
              <w:t>Vicomtech-IK4</w:t>
            </w:r>
          </w:p>
        </w:tc>
      </w:tr>
    </w:tbl>
    <w:p w14:paraId="52EA59A1" w14:textId="77777777" w:rsidR="00BB6655" w:rsidRDefault="00BB6655" w:rsidP="00283620"/>
    <w:p w14:paraId="69D8E9A0" w14:textId="4F920D45" w:rsidR="00E2612E" w:rsidRDefault="00E2612E" w:rsidP="00283620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20640608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878614" w14:textId="77777777" w:rsidR="00E2612E" w:rsidRDefault="00E2612E" w:rsidP="00283620">
          <w:pPr>
            <w:pStyle w:val="Cabealhodondice"/>
          </w:pPr>
          <w:r>
            <w:t>Contents</w:t>
          </w:r>
        </w:p>
        <w:p w14:paraId="16C9ED34" w14:textId="77F702C3" w:rsidR="00494899" w:rsidRDefault="00E2612E">
          <w:pPr>
            <w:pStyle w:val="ndice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561131" w:history="1">
            <w:r w:rsidR="00494899" w:rsidRPr="00161AC1">
              <w:rPr>
                <w:rStyle w:val="Hiperligao"/>
                <w:noProof/>
              </w:rPr>
              <w:t>1.</w:t>
            </w:r>
            <w:r w:rsidR="00494899">
              <w:rPr>
                <w:rFonts w:eastAsiaTheme="minorEastAsia"/>
                <w:noProof/>
                <w:lang w:eastAsia="en-GB"/>
              </w:rPr>
              <w:tab/>
            </w:r>
            <w:r w:rsidR="00494899" w:rsidRPr="00161AC1">
              <w:rPr>
                <w:rStyle w:val="Hiperligao"/>
                <w:noProof/>
              </w:rPr>
              <w:t>ASGARD in a nutshell</w:t>
            </w:r>
            <w:r w:rsidR="00494899">
              <w:rPr>
                <w:noProof/>
                <w:webHidden/>
              </w:rPr>
              <w:tab/>
            </w:r>
            <w:r w:rsidR="00494899">
              <w:rPr>
                <w:noProof/>
                <w:webHidden/>
              </w:rPr>
              <w:fldChar w:fldCharType="begin"/>
            </w:r>
            <w:r w:rsidR="00494899">
              <w:rPr>
                <w:noProof/>
                <w:webHidden/>
              </w:rPr>
              <w:instrText xml:space="preserve"> PAGEREF _Toc466561131 \h </w:instrText>
            </w:r>
            <w:r w:rsidR="00494899">
              <w:rPr>
                <w:noProof/>
                <w:webHidden/>
              </w:rPr>
            </w:r>
            <w:r w:rsidR="00494899">
              <w:rPr>
                <w:noProof/>
                <w:webHidden/>
              </w:rPr>
              <w:fldChar w:fldCharType="separate"/>
            </w:r>
            <w:r w:rsidR="00494899">
              <w:rPr>
                <w:noProof/>
                <w:webHidden/>
              </w:rPr>
              <w:t>2</w:t>
            </w:r>
            <w:r w:rsidR="00494899">
              <w:rPr>
                <w:noProof/>
                <w:webHidden/>
              </w:rPr>
              <w:fldChar w:fldCharType="end"/>
            </w:r>
          </w:hyperlink>
        </w:p>
        <w:p w14:paraId="5B9DB004" w14:textId="37C43860" w:rsidR="00494899" w:rsidRDefault="00E750FC">
          <w:pPr>
            <w:pStyle w:val="ndice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66561132" w:history="1">
            <w:r w:rsidR="00494899" w:rsidRPr="00161AC1">
              <w:rPr>
                <w:rStyle w:val="Hiperligao"/>
                <w:noProof/>
              </w:rPr>
              <w:t>2.</w:t>
            </w:r>
            <w:r w:rsidR="00494899">
              <w:rPr>
                <w:rFonts w:eastAsiaTheme="minorEastAsia"/>
                <w:noProof/>
                <w:lang w:eastAsia="en-GB"/>
              </w:rPr>
              <w:tab/>
            </w:r>
            <w:r w:rsidR="00494899" w:rsidRPr="00161AC1">
              <w:rPr>
                <w:rStyle w:val="Hiperligao"/>
                <w:noProof/>
              </w:rPr>
              <w:t>ASGARD Consortium</w:t>
            </w:r>
            <w:r w:rsidR="00494899">
              <w:rPr>
                <w:noProof/>
                <w:webHidden/>
              </w:rPr>
              <w:tab/>
            </w:r>
            <w:r w:rsidR="00494899">
              <w:rPr>
                <w:noProof/>
                <w:webHidden/>
              </w:rPr>
              <w:fldChar w:fldCharType="begin"/>
            </w:r>
            <w:r w:rsidR="00494899">
              <w:rPr>
                <w:noProof/>
                <w:webHidden/>
              </w:rPr>
              <w:instrText xml:space="preserve"> PAGEREF _Toc466561132 \h </w:instrText>
            </w:r>
            <w:r w:rsidR="00494899">
              <w:rPr>
                <w:noProof/>
                <w:webHidden/>
              </w:rPr>
            </w:r>
            <w:r w:rsidR="00494899">
              <w:rPr>
                <w:noProof/>
                <w:webHidden/>
              </w:rPr>
              <w:fldChar w:fldCharType="separate"/>
            </w:r>
            <w:r w:rsidR="00494899">
              <w:rPr>
                <w:noProof/>
                <w:webHidden/>
              </w:rPr>
              <w:t>3</w:t>
            </w:r>
            <w:r w:rsidR="00494899">
              <w:rPr>
                <w:noProof/>
                <w:webHidden/>
              </w:rPr>
              <w:fldChar w:fldCharType="end"/>
            </w:r>
          </w:hyperlink>
        </w:p>
        <w:p w14:paraId="4B767846" w14:textId="3E1E7E6C" w:rsidR="00494899" w:rsidRDefault="00E750FC">
          <w:pPr>
            <w:pStyle w:val="ndice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66561133" w:history="1">
            <w:r w:rsidR="00494899" w:rsidRPr="00161AC1">
              <w:rPr>
                <w:rStyle w:val="Hiperligao"/>
                <w:noProof/>
              </w:rPr>
              <w:t>3.</w:t>
            </w:r>
            <w:r w:rsidR="00494899">
              <w:rPr>
                <w:rFonts w:eastAsiaTheme="minorEastAsia"/>
                <w:noProof/>
                <w:lang w:eastAsia="en-GB"/>
              </w:rPr>
              <w:tab/>
            </w:r>
            <w:r w:rsidR="00494899" w:rsidRPr="00161AC1">
              <w:rPr>
                <w:rStyle w:val="Hiperligao"/>
                <w:noProof/>
              </w:rPr>
              <w:t>Conceptual view of the implementation strategy</w:t>
            </w:r>
            <w:r w:rsidR="00494899">
              <w:rPr>
                <w:noProof/>
                <w:webHidden/>
              </w:rPr>
              <w:tab/>
            </w:r>
            <w:r w:rsidR="00494899">
              <w:rPr>
                <w:noProof/>
                <w:webHidden/>
              </w:rPr>
              <w:fldChar w:fldCharType="begin"/>
            </w:r>
            <w:r w:rsidR="00494899">
              <w:rPr>
                <w:noProof/>
                <w:webHidden/>
              </w:rPr>
              <w:instrText xml:space="preserve"> PAGEREF _Toc466561133 \h </w:instrText>
            </w:r>
            <w:r w:rsidR="00494899">
              <w:rPr>
                <w:noProof/>
                <w:webHidden/>
              </w:rPr>
            </w:r>
            <w:r w:rsidR="00494899">
              <w:rPr>
                <w:noProof/>
                <w:webHidden/>
              </w:rPr>
              <w:fldChar w:fldCharType="separate"/>
            </w:r>
            <w:r w:rsidR="00494899">
              <w:rPr>
                <w:noProof/>
                <w:webHidden/>
              </w:rPr>
              <w:t>4</w:t>
            </w:r>
            <w:r w:rsidR="00494899">
              <w:rPr>
                <w:noProof/>
                <w:webHidden/>
              </w:rPr>
              <w:fldChar w:fldCharType="end"/>
            </w:r>
          </w:hyperlink>
        </w:p>
        <w:p w14:paraId="1AF0E1B6" w14:textId="006156BA" w:rsidR="00494899" w:rsidRDefault="00E750FC">
          <w:pPr>
            <w:pStyle w:val="ndice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66561134" w:history="1">
            <w:r w:rsidR="00494899" w:rsidRPr="00161AC1">
              <w:rPr>
                <w:rStyle w:val="Hiperligao"/>
                <w:noProof/>
              </w:rPr>
              <w:t>4.</w:t>
            </w:r>
            <w:r w:rsidR="00494899">
              <w:rPr>
                <w:rFonts w:eastAsiaTheme="minorEastAsia"/>
                <w:noProof/>
                <w:lang w:eastAsia="en-GB"/>
              </w:rPr>
              <w:tab/>
            </w:r>
            <w:r w:rsidR="00494899" w:rsidRPr="00161AC1">
              <w:rPr>
                <w:rStyle w:val="Hiperligao"/>
                <w:noProof/>
              </w:rPr>
              <w:t>ASGARD components</w:t>
            </w:r>
            <w:r w:rsidR="00494899">
              <w:rPr>
                <w:noProof/>
                <w:webHidden/>
              </w:rPr>
              <w:tab/>
            </w:r>
            <w:r w:rsidR="00494899">
              <w:rPr>
                <w:noProof/>
                <w:webHidden/>
              </w:rPr>
              <w:fldChar w:fldCharType="begin"/>
            </w:r>
            <w:r w:rsidR="00494899">
              <w:rPr>
                <w:noProof/>
                <w:webHidden/>
              </w:rPr>
              <w:instrText xml:space="preserve"> PAGEREF _Toc466561134 \h </w:instrText>
            </w:r>
            <w:r w:rsidR="00494899">
              <w:rPr>
                <w:noProof/>
                <w:webHidden/>
              </w:rPr>
            </w:r>
            <w:r w:rsidR="00494899">
              <w:rPr>
                <w:noProof/>
                <w:webHidden/>
              </w:rPr>
              <w:fldChar w:fldCharType="separate"/>
            </w:r>
            <w:r w:rsidR="00494899">
              <w:rPr>
                <w:noProof/>
                <w:webHidden/>
              </w:rPr>
              <w:t>5</w:t>
            </w:r>
            <w:r w:rsidR="00494899">
              <w:rPr>
                <w:noProof/>
                <w:webHidden/>
              </w:rPr>
              <w:fldChar w:fldCharType="end"/>
            </w:r>
          </w:hyperlink>
        </w:p>
        <w:p w14:paraId="6BECAAEC" w14:textId="27482BED" w:rsidR="00E2612E" w:rsidRDefault="00E2612E" w:rsidP="00283620">
          <w:pPr>
            <w:rPr>
              <w:noProof/>
            </w:rPr>
          </w:pPr>
          <w:r>
            <w:rPr>
              <w:noProof/>
            </w:rPr>
            <w:fldChar w:fldCharType="end"/>
          </w:r>
        </w:p>
      </w:sdtContent>
    </w:sdt>
    <w:p w14:paraId="71661272" w14:textId="77777777" w:rsidR="00E2612E" w:rsidRDefault="00E2612E" w:rsidP="00283620"/>
    <w:p w14:paraId="73DEA336" w14:textId="77777777" w:rsidR="00635DCC" w:rsidRDefault="00635DCC" w:rsidP="00283620"/>
    <w:p w14:paraId="3F283BF0" w14:textId="77777777" w:rsidR="00BB6655" w:rsidRDefault="00BB6655" w:rsidP="00283620"/>
    <w:p w14:paraId="582B755C" w14:textId="6D87BB79" w:rsidR="002F2E99" w:rsidRDefault="00414B5A" w:rsidP="00283620">
      <w:pPr>
        <w:pStyle w:val="Cabealho1"/>
      </w:pPr>
      <w:bookmarkStart w:id="1" w:name="_Toc466561131"/>
      <w:r>
        <w:lastRenderedPageBreak/>
        <w:t>ASGARD in a nutshell</w:t>
      </w:r>
      <w:bookmarkEnd w:id="1"/>
    </w:p>
    <w:tbl>
      <w:tblPr>
        <w:tblW w:w="8789" w:type="dxa"/>
        <w:tblCellSpacing w:w="42" w:type="dxa"/>
        <w:tblBorders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414B5A" w:rsidRPr="00031151" w14:paraId="036B5B91" w14:textId="77777777" w:rsidTr="00414B5A">
        <w:trPr>
          <w:trHeight w:val="1761"/>
          <w:tblCellSpacing w:w="42" w:type="dxa"/>
        </w:trPr>
        <w:tc>
          <w:tcPr>
            <w:tcW w:w="3407" w:type="dxa"/>
            <w:shd w:val="clear" w:color="auto" w:fill="auto"/>
          </w:tcPr>
          <w:p w14:paraId="0CCED3FD" w14:textId="77777777" w:rsidR="00414B5A" w:rsidRPr="00031151" w:rsidRDefault="00414B5A" w:rsidP="00357ECE">
            <w:pPr>
              <w:spacing w:after="0" w:line="240" w:lineRule="auto"/>
              <w:jc w:val="center"/>
              <w:rPr>
                <w:b/>
                <w:color w:val="1F497D"/>
                <w:szCs w:val="24"/>
              </w:rPr>
            </w:pPr>
            <w:r w:rsidRPr="00031151">
              <w:rPr>
                <w:b/>
                <w:color w:val="1F497D"/>
              </w:rPr>
              <w:t>PROJECT AIMS</w:t>
            </w:r>
          </w:p>
          <w:p w14:paraId="75A756F7" w14:textId="77777777" w:rsidR="00414B5A" w:rsidRPr="00031151" w:rsidRDefault="00414B5A" w:rsidP="00357EC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sz w:val="20"/>
              </w:rPr>
              <w:t>Provide LEAs with Technological Autonomy by</w:t>
            </w:r>
            <w:r w:rsidRPr="00031151">
              <w:rPr>
                <w:sz w:val="20"/>
              </w:rPr>
              <w:t xml:space="preserve"> </w:t>
            </w:r>
            <w:r w:rsidRPr="00031151">
              <w:rPr>
                <w:b/>
                <w:color w:val="1F497D"/>
                <w:sz w:val="20"/>
              </w:rPr>
              <w:t>creat</w:t>
            </w:r>
            <w:r>
              <w:rPr>
                <w:b/>
                <w:color w:val="1F497D"/>
                <w:sz w:val="20"/>
              </w:rPr>
              <w:t>ing</w:t>
            </w:r>
            <w:r w:rsidRPr="00031151">
              <w:rPr>
                <w:b/>
                <w:color w:val="1F497D"/>
                <w:sz w:val="20"/>
              </w:rPr>
              <w:t xml:space="preserve"> a long lasting</w:t>
            </w:r>
            <w:r w:rsidRPr="00031151">
              <w:rPr>
                <w:sz w:val="20"/>
              </w:rPr>
              <w:t xml:space="preserve"> </w:t>
            </w:r>
            <w:r w:rsidRPr="00031151">
              <w:rPr>
                <w:b/>
                <w:color w:val="1F497D"/>
                <w:sz w:val="20"/>
              </w:rPr>
              <w:t>community</w:t>
            </w:r>
            <w:r w:rsidRPr="00031151">
              <w:rPr>
                <w:sz w:val="20"/>
              </w:rPr>
              <w:t xml:space="preserve"> of LEAs</w:t>
            </w:r>
            <w:r>
              <w:rPr>
                <w:sz w:val="20"/>
              </w:rPr>
              <w:t xml:space="preserve"> and the research and development industry</w:t>
            </w:r>
            <w:r w:rsidRPr="00031151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focused on a </w:t>
            </w:r>
            <w:r w:rsidRPr="00031151">
              <w:rPr>
                <w:sz w:val="20"/>
              </w:rPr>
              <w:t xml:space="preserve"> set of tools and techniques, </w:t>
            </w:r>
            <w:r>
              <w:rPr>
                <w:sz w:val="20"/>
              </w:rPr>
              <w:t>that</w:t>
            </w:r>
            <w:r w:rsidRPr="00031151">
              <w:rPr>
                <w:sz w:val="20"/>
              </w:rPr>
              <w:t xml:space="preserve"> </w:t>
            </w:r>
            <w:r>
              <w:rPr>
                <w:b/>
                <w:color w:val="1F497D"/>
                <w:sz w:val="20"/>
              </w:rPr>
              <w:t>facilitate effective</w:t>
            </w:r>
            <w:r w:rsidRPr="00031151">
              <w:rPr>
                <w:b/>
                <w:color w:val="1F497D"/>
                <w:sz w:val="20"/>
              </w:rPr>
              <w:t xml:space="preserve"> collaborat</w:t>
            </w:r>
            <w:r>
              <w:rPr>
                <w:b/>
                <w:color w:val="1F497D"/>
                <w:sz w:val="20"/>
              </w:rPr>
              <w:t>ion</w:t>
            </w:r>
            <w:r w:rsidRPr="00F14B7E">
              <w:rPr>
                <w:color w:val="1F497D"/>
                <w:sz w:val="20"/>
              </w:rPr>
              <w:t xml:space="preserve"> in order</w:t>
            </w:r>
            <w:r w:rsidRPr="00031151">
              <w:rPr>
                <w:sz w:val="20"/>
              </w:rPr>
              <w:t xml:space="preserve"> to define, develop, share, and evolve </w:t>
            </w:r>
            <w:r w:rsidRPr="00031151">
              <w:rPr>
                <w:b/>
                <w:color w:val="1F497D"/>
                <w:sz w:val="20"/>
              </w:rPr>
              <w:t>open source big data technology solutions</w:t>
            </w:r>
            <w:r w:rsidRPr="00031151">
              <w:rPr>
                <w:sz w:val="20"/>
              </w:rPr>
              <w:t xml:space="preserve"> that will help LEAs </w:t>
            </w:r>
            <w:r w:rsidRPr="00031151">
              <w:rPr>
                <w:b/>
                <w:color w:val="1F497D"/>
                <w:sz w:val="20"/>
              </w:rPr>
              <w:t>prevent and fight against crime and terrorism.</w:t>
            </w:r>
          </w:p>
        </w:tc>
        <w:tc>
          <w:tcPr>
            <w:tcW w:w="3555" w:type="dxa"/>
            <w:shd w:val="clear" w:color="auto" w:fill="auto"/>
          </w:tcPr>
          <w:p w14:paraId="2FC03B91" w14:textId="77777777" w:rsidR="00414B5A" w:rsidRPr="00031151" w:rsidRDefault="00414B5A" w:rsidP="00357ECE">
            <w:pPr>
              <w:spacing w:after="0" w:line="240" w:lineRule="auto"/>
              <w:ind w:left="329" w:hanging="329"/>
              <w:jc w:val="center"/>
              <w:rPr>
                <w:color w:val="1F497D"/>
                <w:szCs w:val="24"/>
              </w:rPr>
            </w:pPr>
            <w:r w:rsidRPr="00031151">
              <w:rPr>
                <w:b/>
                <w:bCs/>
                <w:color w:val="1F497D"/>
              </w:rPr>
              <w:t>VISION</w:t>
            </w:r>
          </w:p>
          <w:p w14:paraId="7CB9EAA3" w14:textId="77777777" w:rsidR="00414B5A" w:rsidRPr="00031151" w:rsidRDefault="00414B5A" w:rsidP="00357ECE">
            <w:pPr>
              <w:tabs>
                <w:tab w:val="num" w:pos="-17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31151">
              <w:rPr>
                <w:sz w:val="20"/>
              </w:rPr>
              <w:t xml:space="preserve">By the end of the project ASGARD will deliver an </w:t>
            </w:r>
            <w:r w:rsidRPr="00031151">
              <w:rPr>
                <w:b/>
                <w:color w:val="1F497D"/>
                <w:sz w:val="20"/>
              </w:rPr>
              <w:t>active and sustainable community of practitioners</w:t>
            </w:r>
            <w:r w:rsidRPr="00031151">
              <w:rPr>
                <w:sz w:val="20"/>
              </w:rPr>
              <w:t xml:space="preserve"> that has found a </w:t>
            </w:r>
            <w:r w:rsidRPr="00031151">
              <w:rPr>
                <w:b/>
                <w:color w:val="1F497D"/>
                <w:sz w:val="20"/>
              </w:rPr>
              <w:t xml:space="preserve">valid </w:t>
            </w:r>
            <w:r>
              <w:rPr>
                <w:b/>
                <w:color w:val="1F497D"/>
                <w:sz w:val="20"/>
              </w:rPr>
              <w:t xml:space="preserve">and sustainable </w:t>
            </w:r>
            <w:r w:rsidRPr="00031151">
              <w:rPr>
                <w:b/>
                <w:color w:val="1F497D"/>
                <w:sz w:val="20"/>
              </w:rPr>
              <w:t>model</w:t>
            </w:r>
            <w:r w:rsidRPr="00031151">
              <w:rPr>
                <w:sz w:val="20"/>
              </w:rPr>
              <w:t xml:space="preserve"> for all </w:t>
            </w:r>
            <w:r>
              <w:rPr>
                <w:sz w:val="20"/>
              </w:rPr>
              <w:t>participants</w:t>
            </w:r>
            <w:r w:rsidRPr="00031151">
              <w:rPr>
                <w:sz w:val="20"/>
              </w:rPr>
              <w:t xml:space="preserve"> and has </w:t>
            </w:r>
            <w:r w:rsidRPr="00031151">
              <w:rPr>
                <w:b/>
                <w:color w:val="1F497D"/>
                <w:sz w:val="20"/>
              </w:rPr>
              <w:t>successfully delivered and evaluated the tools &amp; infrastructure</w:t>
            </w:r>
            <w:r w:rsidRPr="00031151">
              <w:rPr>
                <w:sz w:val="20"/>
              </w:rPr>
              <w:t xml:space="preserve"> developed during the project, </w:t>
            </w:r>
            <w:r w:rsidRPr="00031151">
              <w:rPr>
                <w:b/>
                <w:color w:val="1F497D"/>
                <w:sz w:val="20"/>
              </w:rPr>
              <w:t xml:space="preserve">reinforcing all </w:t>
            </w:r>
            <w:r>
              <w:rPr>
                <w:b/>
                <w:color w:val="1F497D"/>
                <w:sz w:val="20"/>
              </w:rPr>
              <w:t>participants’</w:t>
            </w:r>
            <w:r w:rsidRPr="00031151">
              <w:rPr>
                <w:b/>
                <w:color w:val="1F497D"/>
                <w:sz w:val="20"/>
              </w:rPr>
              <w:t xml:space="preserve"> </w:t>
            </w:r>
            <w:r>
              <w:rPr>
                <w:b/>
                <w:color w:val="1F497D"/>
                <w:sz w:val="20"/>
              </w:rPr>
              <w:t>motivation</w:t>
            </w:r>
            <w:r w:rsidRPr="00031151">
              <w:rPr>
                <w:b/>
                <w:color w:val="1F497D"/>
                <w:sz w:val="20"/>
              </w:rPr>
              <w:t xml:space="preserve"> to </w:t>
            </w:r>
            <w:r w:rsidRPr="00031151">
              <w:rPr>
                <w:sz w:val="20"/>
              </w:rPr>
              <w:t>participate in the community.</w:t>
            </w:r>
          </w:p>
        </w:tc>
      </w:tr>
      <w:tr w:rsidR="00414B5A" w:rsidRPr="00031151" w14:paraId="56C88E07" w14:textId="77777777" w:rsidTr="00414B5A">
        <w:trPr>
          <w:trHeight w:val="4705"/>
          <w:tblCellSpacing w:w="42" w:type="dxa"/>
        </w:trPr>
        <w:tc>
          <w:tcPr>
            <w:tcW w:w="3407" w:type="dxa"/>
            <w:shd w:val="clear" w:color="auto" w:fill="auto"/>
            <w:hideMark/>
          </w:tcPr>
          <w:p w14:paraId="67682999" w14:textId="77777777" w:rsidR="00414B5A" w:rsidRPr="00031151" w:rsidRDefault="00414B5A" w:rsidP="00357ECE">
            <w:pPr>
              <w:spacing w:after="0" w:line="240" w:lineRule="auto"/>
              <w:jc w:val="center"/>
              <w:rPr>
                <w:color w:val="1F497D"/>
                <w:szCs w:val="24"/>
              </w:rPr>
            </w:pPr>
            <w:r w:rsidRPr="00031151">
              <w:rPr>
                <w:b/>
                <w:bCs/>
                <w:color w:val="1F497D"/>
              </w:rPr>
              <w:t>STRATEGY</w:t>
            </w:r>
          </w:p>
          <w:p w14:paraId="2210CEBE" w14:textId="77777777" w:rsidR="00414B5A" w:rsidRPr="00031151" w:rsidRDefault="00414B5A" w:rsidP="00414B5A">
            <w:pPr>
              <w:numPr>
                <w:ilvl w:val="0"/>
                <w:numId w:val="6"/>
              </w:numPr>
              <w:spacing w:after="0" w:line="240" w:lineRule="auto"/>
              <w:ind w:left="195" w:hanging="195"/>
              <w:contextualSpacing/>
              <w:rPr>
                <w:sz w:val="20"/>
              </w:rPr>
            </w:pPr>
            <w:r w:rsidRPr="00031151">
              <w:rPr>
                <w:b/>
                <w:color w:val="1F497D"/>
                <w:sz w:val="20"/>
              </w:rPr>
              <w:t>Fluid, Frequent, and Fruitful collaboration between all stakeholders</w:t>
            </w:r>
            <w:r w:rsidRPr="00031151">
              <w:rPr>
                <w:sz w:val="20"/>
              </w:rPr>
              <w:t xml:space="preserve">, including </w:t>
            </w:r>
            <w:r w:rsidRPr="00031151">
              <w:rPr>
                <w:b/>
                <w:color w:val="1F497D"/>
                <w:sz w:val="20"/>
              </w:rPr>
              <w:t>short development cycles</w:t>
            </w:r>
            <w:r w:rsidRPr="00031151">
              <w:rPr>
                <w:sz w:val="20"/>
              </w:rPr>
              <w:t xml:space="preserve"> and face-to-face </w:t>
            </w:r>
            <w:r w:rsidRPr="00EC2557">
              <w:rPr>
                <w:b/>
                <w:color w:val="1F497D"/>
                <w:sz w:val="20"/>
              </w:rPr>
              <w:t>“Hac</w:t>
            </w:r>
            <w:r w:rsidRPr="00031151">
              <w:rPr>
                <w:b/>
                <w:color w:val="1F497D"/>
                <w:sz w:val="20"/>
              </w:rPr>
              <w:t>kathons</w:t>
            </w:r>
            <w:r w:rsidRPr="00031151">
              <w:rPr>
                <w:sz w:val="20"/>
              </w:rPr>
              <w:t xml:space="preserve">” every 6 months. After the hackathons LEAs will be able to take the tools, deploy and </w:t>
            </w:r>
            <w:r>
              <w:rPr>
                <w:sz w:val="20"/>
              </w:rPr>
              <w:t>test</w:t>
            </w:r>
            <w:r w:rsidRPr="00031151">
              <w:rPr>
                <w:sz w:val="20"/>
              </w:rPr>
              <w:t xml:space="preserve"> them in their own premises and with their own data</w:t>
            </w:r>
            <w:r>
              <w:rPr>
                <w:sz w:val="20"/>
              </w:rPr>
              <w:t xml:space="preserve"> providing </w:t>
            </w:r>
            <w:r w:rsidRPr="00031151">
              <w:rPr>
                <w:sz w:val="20"/>
              </w:rPr>
              <w:t xml:space="preserve">feedback to the </w:t>
            </w:r>
            <w:r>
              <w:rPr>
                <w:sz w:val="20"/>
              </w:rPr>
              <w:t xml:space="preserve">ASGARD </w:t>
            </w:r>
            <w:r w:rsidRPr="00031151">
              <w:rPr>
                <w:sz w:val="20"/>
              </w:rPr>
              <w:t>community.</w:t>
            </w:r>
          </w:p>
          <w:p w14:paraId="79D801AC" w14:textId="77777777" w:rsidR="00414B5A" w:rsidRPr="00031151" w:rsidRDefault="00414B5A" w:rsidP="00414B5A">
            <w:pPr>
              <w:numPr>
                <w:ilvl w:val="0"/>
                <w:numId w:val="6"/>
              </w:numPr>
              <w:spacing w:after="0" w:line="240" w:lineRule="auto"/>
              <w:ind w:left="195" w:hanging="195"/>
              <w:contextualSpacing/>
              <w:rPr>
                <w:sz w:val="20"/>
              </w:rPr>
            </w:pPr>
            <w:r w:rsidRPr="00031151">
              <w:rPr>
                <w:b/>
                <w:color w:val="1F497D"/>
                <w:sz w:val="20"/>
              </w:rPr>
              <w:t xml:space="preserve">Build the </w:t>
            </w:r>
            <w:r>
              <w:rPr>
                <w:b/>
                <w:color w:val="1F497D"/>
                <w:sz w:val="20"/>
              </w:rPr>
              <w:t xml:space="preserve">sustainable </w:t>
            </w:r>
            <w:r w:rsidRPr="00031151">
              <w:rPr>
                <w:b/>
                <w:color w:val="1F497D"/>
                <w:sz w:val="20"/>
              </w:rPr>
              <w:t>community starting with a large representation</w:t>
            </w:r>
            <w:r w:rsidRPr="00031151">
              <w:rPr>
                <w:sz w:val="20"/>
              </w:rPr>
              <w:t xml:space="preserve"> of the different stakeholders in the </w:t>
            </w:r>
            <w:r w:rsidRPr="00031151">
              <w:rPr>
                <w:b/>
                <w:color w:val="1F497D"/>
                <w:sz w:val="20"/>
              </w:rPr>
              <w:t>strong ASGARD consortium</w:t>
            </w:r>
            <w:r w:rsidRPr="00031151">
              <w:rPr>
                <w:sz w:val="20"/>
              </w:rPr>
              <w:t>.</w:t>
            </w:r>
          </w:p>
          <w:p w14:paraId="6EC51B98" w14:textId="77777777" w:rsidR="00414B5A" w:rsidRPr="00031151" w:rsidRDefault="00414B5A" w:rsidP="00414B5A">
            <w:pPr>
              <w:numPr>
                <w:ilvl w:val="0"/>
                <w:numId w:val="6"/>
              </w:numPr>
              <w:spacing w:after="0" w:line="240" w:lineRule="auto"/>
              <w:ind w:left="195" w:hanging="195"/>
              <w:contextualSpacing/>
              <w:rPr>
                <w:sz w:val="20"/>
              </w:rPr>
            </w:pPr>
            <w:r w:rsidRPr="00031151">
              <w:rPr>
                <w:b/>
                <w:color w:val="1F497D"/>
                <w:sz w:val="20"/>
              </w:rPr>
              <w:t>Definition and design of the solution based on</w:t>
            </w:r>
            <w:r w:rsidRPr="00031151">
              <w:rPr>
                <w:sz w:val="20"/>
              </w:rPr>
              <w:t xml:space="preserve"> (1) forensic, intelligence and foresight </w:t>
            </w:r>
            <w:r w:rsidRPr="00031151">
              <w:rPr>
                <w:b/>
                <w:color w:val="1F497D"/>
                <w:sz w:val="20"/>
              </w:rPr>
              <w:t>processes</w:t>
            </w:r>
            <w:r w:rsidRPr="00031151">
              <w:rPr>
                <w:sz w:val="20"/>
              </w:rPr>
              <w:t xml:space="preserve">, (2) end-user needs driven </w:t>
            </w:r>
            <w:r w:rsidRPr="00031151">
              <w:rPr>
                <w:b/>
                <w:color w:val="1F497D"/>
                <w:sz w:val="20"/>
              </w:rPr>
              <w:t>use cases</w:t>
            </w:r>
            <w:r w:rsidRPr="00031151">
              <w:rPr>
                <w:sz w:val="20"/>
              </w:rPr>
              <w:t xml:space="preserve"> and scenarios, (3) SoA </w:t>
            </w:r>
            <w:r w:rsidRPr="00031151">
              <w:rPr>
                <w:b/>
                <w:color w:val="1F497D"/>
                <w:sz w:val="20"/>
              </w:rPr>
              <w:t>technologies</w:t>
            </w:r>
            <w:r w:rsidRPr="00031151">
              <w:rPr>
                <w:sz w:val="20"/>
              </w:rPr>
              <w:t xml:space="preserve"> and beyond SoA achievable challenges, and (4) </w:t>
            </w:r>
            <w:r w:rsidRPr="00031151">
              <w:rPr>
                <w:b/>
                <w:color w:val="1F497D"/>
                <w:sz w:val="20"/>
              </w:rPr>
              <w:t>Social, Ethical, Legal, and Privacy aspects</w:t>
            </w:r>
            <w:r w:rsidRPr="00031151">
              <w:rPr>
                <w:sz w:val="20"/>
              </w:rPr>
              <w:t>.</w:t>
            </w:r>
          </w:p>
          <w:p w14:paraId="1AC076A7" w14:textId="77777777" w:rsidR="00414B5A" w:rsidRPr="00031151" w:rsidRDefault="00414B5A" w:rsidP="00357ECE">
            <w:pPr>
              <w:pStyle w:val="PargrafodaLista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3555" w:type="dxa"/>
            <w:shd w:val="clear" w:color="auto" w:fill="auto"/>
          </w:tcPr>
          <w:p w14:paraId="6494B5D0" w14:textId="77777777" w:rsidR="00414B5A" w:rsidRPr="00031151" w:rsidRDefault="00414B5A" w:rsidP="00357ECE">
            <w:pPr>
              <w:spacing w:after="0" w:line="240" w:lineRule="auto"/>
              <w:jc w:val="center"/>
              <w:rPr>
                <w:color w:val="1F497D"/>
                <w:szCs w:val="24"/>
              </w:rPr>
            </w:pPr>
            <w:r w:rsidRPr="00031151">
              <w:rPr>
                <w:b/>
                <w:bCs/>
                <w:color w:val="1F497D"/>
              </w:rPr>
              <w:t>IMPACT</w:t>
            </w:r>
          </w:p>
          <w:p w14:paraId="380FE1E7" w14:textId="77777777" w:rsidR="00414B5A" w:rsidRPr="00031151" w:rsidRDefault="00414B5A" w:rsidP="00414B5A">
            <w:pPr>
              <w:numPr>
                <w:ilvl w:val="0"/>
                <w:numId w:val="5"/>
              </w:numPr>
              <w:spacing w:after="0" w:line="240" w:lineRule="auto"/>
              <w:ind w:left="175" w:hanging="138"/>
              <w:rPr>
                <w:sz w:val="20"/>
              </w:rPr>
            </w:pPr>
            <w:r w:rsidRPr="00031151">
              <w:rPr>
                <w:sz w:val="20"/>
              </w:rPr>
              <w:t xml:space="preserve">ASGARD will </w:t>
            </w:r>
            <w:r w:rsidRPr="00031151">
              <w:rPr>
                <w:b/>
                <w:color w:val="1F497D"/>
                <w:sz w:val="20"/>
              </w:rPr>
              <w:t>enhance LEAs</w:t>
            </w:r>
            <w:r>
              <w:rPr>
                <w:b/>
                <w:color w:val="1F497D"/>
                <w:sz w:val="20"/>
              </w:rPr>
              <w:t>’</w:t>
            </w:r>
            <w:r w:rsidRPr="00031151">
              <w:rPr>
                <w:b/>
                <w:color w:val="1F497D"/>
                <w:sz w:val="20"/>
              </w:rPr>
              <w:t xml:space="preserve"> efficiency and capabilities</w:t>
            </w:r>
            <w:r w:rsidRPr="00031151">
              <w:rPr>
                <w:sz w:val="20"/>
              </w:rPr>
              <w:t xml:space="preserve"> in forensic, intelligence, and foresight by delivering a </w:t>
            </w:r>
            <w:r w:rsidRPr="00031151">
              <w:rPr>
                <w:b/>
                <w:color w:val="1F497D"/>
                <w:sz w:val="20"/>
              </w:rPr>
              <w:t>set of easily configurable and deployable tools and applications</w:t>
            </w:r>
            <w:r w:rsidRPr="00031151">
              <w:rPr>
                <w:sz w:val="20"/>
              </w:rPr>
              <w:t xml:space="preserve"> (not a monolithic platform). The tools to be delivered will be </w:t>
            </w:r>
            <w:r w:rsidRPr="00031151">
              <w:rPr>
                <w:b/>
                <w:color w:val="1F497D"/>
                <w:sz w:val="20"/>
              </w:rPr>
              <w:t>prioritised by LEAs</w:t>
            </w:r>
            <w:r w:rsidRPr="00031151">
              <w:rPr>
                <w:sz w:val="20"/>
              </w:rPr>
              <w:t xml:space="preserve">. Each tool will be designed and developed to tackle a specific task, whether it be data or task driven. User-friendly and easy-to-use applications will allow very </w:t>
            </w:r>
            <w:r w:rsidRPr="00031151">
              <w:rPr>
                <w:b/>
                <w:color w:val="1F497D"/>
                <w:sz w:val="20"/>
              </w:rPr>
              <w:t xml:space="preserve">quick definition and set up of ad hoc </w:t>
            </w:r>
            <w:r w:rsidRPr="00031151">
              <w:rPr>
                <w:sz w:val="20"/>
              </w:rPr>
              <w:t>data acquisition, processing, analysis, and exploitation</w:t>
            </w:r>
            <w:r w:rsidRPr="00031151">
              <w:rPr>
                <w:b/>
                <w:color w:val="1F497D"/>
                <w:sz w:val="20"/>
              </w:rPr>
              <w:t xml:space="preserve"> workflows </w:t>
            </w:r>
            <w:r w:rsidRPr="00031151">
              <w:rPr>
                <w:sz w:val="20"/>
              </w:rPr>
              <w:t>to tackle the</w:t>
            </w:r>
            <w:r w:rsidRPr="00031151">
              <w:rPr>
                <w:b/>
                <w:color w:val="1F497D"/>
                <w:sz w:val="20"/>
              </w:rPr>
              <w:t xml:space="preserve"> specific needs of each investigation</w:t>
            </w:r>
            <w:r w:rsidRPr="00031151">
              <w:rPr>
                <w:sz w:val="20"/>
              </w:rPr>
              <w:t>.</w:t>
            </w:r>
          </w:p>
          <w:p w14:paraId="545A1FA0" w14:textId="77777777" w:rsidR="00414B5A" w:rsidRPr="00031151" w:rsidRDefault="00414B5A" w:rsidP="00414B5A">
            <w:pPr>
              <w:numPr>
                <w:ilvl w:val="0"/>
                <w:numId w:val="5"/>
              </w:numPr>
              <w:spacing w:after="0" w:line="240" w:lineRule="auto"/>
              <w:ind w:left="175" w:hanging="138"/>
              <w:rPr>
                <w:sz w:val="20"/>
                <w:szCs w:val="24"/>
              </w:rPr>
            </w:pPr>
            <w:r w:rsidRPr="00031151">
              <w:rPr>
                <w:b/>
                <w:color w:val="1F497D"/>
                <w:sz w:val="20"/>
              </w:rPr>
              <w:t xml:space="preserve">Iterative and participatory multi-actor dialogues </w:t>
            </w:r>
            <w:r w:rsidRPr="00031151">
              <w:rPr>
                <w:sz w:val="20"/>
              </w:rPr>
              <w:t>will take place</w:t>
            </w:r>
            <w:r w:rsidRPr="00031151">
              <w:rPr>
                <w:b/>
                <w:color w:val="1F497D"/>
                <w:sz w:val="20"/>
              </w:rPr>
              <w:t xml:space="preserve"> at least every 6 months</w:t>
            </w:r>
            <w:r w:rsidRPr="00031151">
              <w:rPr>
                <w:sz w:val="20"/>
              </w:rPr>
              <w:t xml:space="preserve">, during the “hackathons”, </w:t>
            </w:r>
            <w:r>
              <w:rPr>
                <w:sz w:val="20"/>
              </w:rPr>
              <w:t>and</w:t>
            </w:r>
            <w:r w:rsidRPr="00031151">
              <w:rPr>
                <w:sz w:val="20"/>
              </w:rPr>
              <w:t xml:space="preserve"> will foster understanding and collaboration.</w:t>
            </w:r>
          </w:p>
          <w:p w14:paraId="207C2C9F" w14:textId="77777777" w:rsidR="00414B5A" w:rsidRPr="00031151" w:rsidRDefault="00414B5A" w:rsidP="00414B5A">
            <w:pPr>
              <w:numPr>
                <w:ilvl w:val="0"/>
                <w:numId w:val="5"/>
              </w:numPr>
              <w:spacing w:after="0" w:line="240" w:lineRule="auto"/>
              <w:ind w:left="175" w:hanging="138"/>
              <w:rPr>
                <w:rFonts w:ascii="Times New Roman" w:hAnsi="Times New Roman"/>
                <w:sz w:val="20"/>
                <w:szCs w:val="24"/>
              </w:rPr>
            </w:pPr>
            <w:r w:rsidRPr="00031151">
              <w:rPr>
                <w:sz w:val="20"/>
              </w:rPr>
              <w:t xml:space="preserve">ASGARD will also </w:t>
            </w:r>
            <w:r w:rsidRPr="00031151">
              <w:rPr>
                <w:b/>
                <w:color w:val="1F497D"/>
                <w:sz w:val="20"/>
              </w:rPr>
              <w:t>improve LEAs</w:t>
            </w:r>
            <w:r>
              <w:rPr>
                <w:b/>
                <w:color w:val="1F497D"/>
                <w:sz w:val="20"/>
              </w:rPr>
              <w:t>’</w:t>
            </w:r>
            <w:r w:rsidRPr="00031151">
              <w:rPr>
                <w:b/>
                <w:color w:val="1F497D"/>
                <w:sz w:val="20"/>
              </w:rPr>
              <w:t xml:space="preserve"> capabilities for trans-border LEAs data-exchange and collaboration.</w:t>
            </w:r>
          </w:p>
        </w:tc>
      </w:tr>
      <w:tr w:rsidR="00414B5A" w:rsidRPr="00031151" w14:paraId="6DF4A5FE" w14:textId="77777777" w:rsidTr="00414B5A">
        <w:trPr>
          <w:trHeight w:val="2507"/>
          <w:tblCellSpacing w:w="42" w:type="dxa"/>
        </w:trPr>
        <w:tc>
          <w:tcPr>
            <w:tcW w:w="3407" w:type="dxa"/>
            <w:shd w:val="clear" w:color="auto" w:fill="auto"/>
          </w:tcPr>
          <w:p w14:paraId="25463107" w14:textId="77777777" w:rsidR="00414B5A" w:rsidRPr="00031151" w:rsidRDefault="00414B5A" w:rsidP="00357ECE">
            <w:pPr>
              <w:spacing w:after="0" w:line="240" w:lineRule="auto"/>
              <w:jc w:val="center"/>
              <w:rPr>
                <w:color w:val="1F497D"/>
                <w:szCs w:val="24"/>
              </w:rPr>
            </w:pPr>
            <w:r w:rsidRPr="00031151">
              <w:rPr>
                <w:b/>
                <w:bCs/>
                <w:color w:val="1F497D"/>
              </w:rPr>
              <w:t>EXCELLENCE</w:t>
            </w:r>
          </w:p>
          <w:p w14:paraId="10D390FE" w14:textId="77777777" w:rsidR="00414B5A" w:rsidRPr="00031151" w:rsidRDefault="00414B5A" w:rsidP="00414B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95" w:hanging="195"/>
              <w:rPr>
                <w:sz w:val="20"/>
              </w:rPr>
            </w:pPr>
            <w:r w:rsidRPr="00031151">
              <w:rPr>
                <w:b/>
                <w:color w:val="1F497D"/>
                <w:sz w:val="20"/>
              </w:rPr>
              <w:t>Interoperability</w:t>
            </w:r>
            <w:r w:rsidRPr="00031151">
              <w:rPr>
                <w:sz w:val="20"/>
              </w:rPr>
              <w:t xml:space="preserve">: Develop easy-to-use, </w:t>
            </w:r>
            <w:r>
              <w:rPr>
                <w:sz w:val="20"/>
              </w:rPr>
              <w:t>interoperable</w:t>
            </w:r>
            <w:r w:rsidRPr="00031151">
              <w:rPr>
                <w:sz w:val="20"/>
              </w:rPr>
              <w:t xml:space="preserve"> sets of tools which complement LEAs’ current systems.</w:t>
            </w:r>
          </w:p>
          <w:p w14:paraId="1F6E23A3" w14:textId="77777777" w:rsidR="00414B5A" w:rsidRPr="00031151" w:rsidRDefault="00414B5A" w:rsidP="00414B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95" w:hanging="195"/>
              <w:rPr>
                <w:b/>
                <w:color w:val="1F497D"/>
                <w:sz w:val="20"/>
              </w:rPr>
            </w:pPr>
            <w:r w:rsidRPr="00031151">
              <w:rPr>
                <w:b/>
                <w:color w:val="1F497D"/>
                <w:sz w:val="20"/>
              </w:rPr>
              <w:t xml:space="preserve">Technological breakthrough: </w:t>
            </w:r>
            <w:r w:rsidRPr="00031151">
              <w:rPr>
                <w:sz w:val="20"/>
              </w:rPr>
              <w:t xml:space="preserve">Build upon the work in prior related projects, ground-breaking technologies tackling LEAs prioritised needs in the fields of multimedia big data acquisition, processing, fusion, mining, </w:t>
            </w:r>
            <w:r>
              <w:rPr>
                <w:sz w:val="20"/>
              </w:rPr>
              <w:t>visualis</w:t>
            </w:r>
            <w:r w:rsidRPr="00031151">
              <w:rPr>
                <w:sz w:val="20"/>
              </w:rPr>
              <w:t>ation and collaboration.</w:t>
            </w:r>
          </w:p>
          <w:p w14:paraId="5F59E301" w14:textId="77777777" w:rsidR="00414B5A" w:rsidRPr="00031151" w:rsidRDefault="00414B5A" w:rsidP="00414B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95" w:hanging="195"/>
              <w:rPr>
                <w:sz w:val="20"/>
              </w:rPr>
            </w:pPr>
            <w:r w:rsidRPr="00031151">
              <w:rPr>
                <w:b/>
                <w:color w:val="1F497D"/>
                <w:sz w:val="20"/>
              </w:rPr>
              <w:t xml:space="preserve">Social, Ethical, Legal and Privacy compliance: </w:t>
            </w:r>
            <w:r>
              <w:rPr>
                <w:sz w:val="20"/>
              </w:rPr>
              <w:t>Fully compliant with</w:t>
            </w:r>
            <w:r w:rsidRPr="00031151">
              <w:rPr>
                <w:sz w:val="20"/>
              </w:rPr>
              <w:t xml:space="preserve"> new legislative framework resulting from new EU data protection directive </w:t>
            </w:r>
            <w:r>
              <w:rPr>
                <w:sz w:val="20"/>
              </w:rPr>
              <w:t>with</w:t>
            </w:r>
            <w:r w:rsidRPr="00031151">
              <w:rPr>
                <w:sz w:val="20"/>
              </w:rPr>
              <w:t xml:space="preserve"> emphasis on Privacy by Design and Societal Impact</w:t>
            </w:r>
            <w:r>
              <w:rPr>
                <w:sz w:val="20"/>
              </w:rPr>
              <w:t>, the Charter of Fundamental rights and H2020 MGA provisions</w:t>
            </w:r>
          </w:p>
        </w:tc>
        <w:tc>
          <w:tcPr>
            <w:tcW w:w="3555" w:type="dxa"/>
            <w:shd w:val="clear" w:color="auto" w:fill="auto"/>
          </w:tcPr>
          <w:p w14:paraId="16667F73" w14:textId="77777777" w:rsidR="00414B5A" w:rsidRPr="00031151" w:rsidRDefault="00414B5A" w:rsidP="00357ECE">
            <w:pPr>
              <w:spacing w:after="0" w:line="240" w:lineRule="auto"/>
              <w:jc w:val="center"/>
              <w:rPr>
                <w:color w:val="1F497D"/>
                <w:szCs w:val="24"/>
              </w:rPr>
            </w:pPr>
            <w:r w:rsidRPr="00031151">
              <w:rPr>
                <w:b/>
                <w:bCs/>
                <w:color w:val="1F497D"/>
              </w:rPr>
              <w:t>IMPLEMENTATION</w:t>
            </w:r>
          </w:p>
          <w:p w14:paraId="75340955" w14:textId="77777777" w:rsidR="00414B5A" w:rsidRPr="00031151" w:rsidRDefault="00414B5A" w:rsidP="00414B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b/>
                <w:color w:val="1F497D"/>
                <w:sz w:val="20"/>
              </w:rPr>
            </w:pPr>
            <w:r w:rsidRPr="00031151">
              <w:rPr>
                <w:b/>
                <w:color w:val="1F497D"/>
                <w:sz w:val="20"/>
              </w:rPr>
              <w:t xml:space="preserve">Agile: </w:t>
            </w:r>
            <w:r w:rsidRPr="00031151">
              <w:rPr>
                <w:sz w:val="20"/>
              </w:rPr>
              <w:t>Modern continuous development and integration methodologies and short development cycles to ensure the LEAs in the project have early and frequent access to the project results (at least 6 times during the project) so that they can provide prompt feedback to re-prioritise the work plan if needed.</w:t>
            </w:r>
          </w:p>
          <w:p w14:paraId="21FF1C37" w14:textId="77777777" w:rsidR="00414B5A" w:rsidRPr="00414B5A" w:rsidRDefault="00414B5A" w:rsidP="00414B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b/>
                <w:bCs/>
              </w:rPr>
            </w:pPr>
            <w:r w:rsidRPr="00031151">
              <w:rPr>
                <w:b/>
                <w:color w:val="1F497D"/>
                <w:sz w:val="20"/>
              </w:rPr>
              <w:t>S</w:t>
            </w:r>
            <w:r>
              <w:rPr>
                <w:b/>
                <w:color w:val="1F497D"/>
                <w:sz w:val="20"/>
              </w:rPr>
              <w:t>treamlined</w:t>
            </w:r>
            <w:r w:rsidRPr="00031151">
              <w:rPr>
                <w:b/>
                <w:color w:val="1F497D"/>
                <w:sz w:val="20"/>
              </w:rPr>
              <w:t xml:space="preserve"> management and coordination: </w:t>
            </w:r>
            <w:r w:rsidRPr="00031151">
              <w:rPr>
                <w:sz w:val="20"/>
              </w:rPr>
              <w:t xml:space="preserve">Few partners per task and few tasks per partner (mainly in RTD </w:t>
            </w:r>
          </w:p>
          <w:p w14:paraId="685708AC" w14:textId="7834F099" w:rsidR="00414B5A" w:rsidRPr="00031151" w:rsidRDefault="00414B5A" w:rsidP="00414B5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b/>
                <w:bCs/>
              </w:rPr>
            </w:pPr>
            <w:r w:rsidRPr="00031151">
              <w:rPr>
                <w:sz w:val="20"/>
              </w:rPr>
              <w:t xml:space="preserve">tasks) and efficient governance and decision making mechanisms to simplify management and coordination and to facilitate prompt and appropriate issue/conflict </w:t>
            </w:r>
            <w:r>
              <w:rPr>
                <w:sz w:val="20"/>
              </w:rPr>
              <w:t>re</w:t>
            </w:r>
            <w:r w:rsidRPr="00031151">
              <w:rPr>
                <w:sz w:val="20"/>
              </w:rPr>
              <w:t>solution.</w:t>
            </w:r>
          </w:p>
        </w:tc>
      </w:tr>
    </w:tbl>
    <w:p w14:paraId="67939186" w14:textId="77777777" w:rsidR="00414B5A" w:rsidRDefault="00414B5A" w:rsidP="00414B5A">
      <w:pPr>
        <w:sectPr w:rsidR="00414B5A" w:rsidSect="00BB6655">
          <w:headerReference w:type="default" r:id="rId9"/>
          <w:footerReference w:type="default" r:id="rId10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73BE8E3F" w14:textId="35A25667" w:rsidR="00414B5A" w:rsidRDefault="00414B5A" w:rsidP="00414B5A">
      <w:pPr>
        <w:pStyle w:val="Cabealho1"/>
      </w:pPr>
      <w:bookmarkStart w:id="2" w:name="_Toc466561132"/>
      <w:r>
        <w:lastRenderedPageBreak/>
        <w:t>ASGARD Consortium</w:t>
      </w:r>
      <w:bookmarkEnd w:id="2"/>
    </w:p>
    <w:p w14:paraId="28A86AD7" w14:textId="28C1DDEF" w:rsidR="00414B5A" w:rsidRDefault="00414B5A" w:rsidP="00414B5A">
      <w:pPr>
        <w:jc w:val="center"/>
      </w:pPr>
      <w:r>
        <w:rPr>
          <w:noProof/>
          <w:lang w:val="pt-PT" w:eastAsia="pt-PT"/>
        </w:rPr>
        <w:drawing>
          <wp:inline distT="0" distB="0" distL="0" distR="0" wp14:anchorId="306BEB6C" wp14:editId="2B8BBC0B">
            <wp:extent cx="6638925" cy="5113428"/>
            <wp:effectExtent l="133350" t="133350" r="142875" b="1447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786" cy="5117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8E72086" w14:textId="2C22E1E8" w:rsidR="00414B5A" w:rsidRDefault="00414B5A" w:rsidP="00414B5A">
      <w:pPr>
        <w:pStyle w:val="Cabealho1"/>
      </w:pPr>
      <w:bookmarkStart w:id="3" w:name="_Toc466561133"/>
      <w:r w:rsidRPr="00414B5A">
        <w:t>Conceptual view of the implementation strategy</w:t>
      </w:r>
      <w:bookmarkEnd w:id="3"/>
    </w:p>
    <w:p w14:paraId="709E45C6" w14:textId="677697E9" w:rsidR="00414B5A" w:rsidRDefault="00414B5A" w:rsidP="00414B5A">
      <w:pPr>
        <w:jc w:val="center"/>
      </w:pPr>
      <w:r>
        <w:rPr>
          <w:noProof/>
          <w:lang w:val="pt-PT" w:eastAsia="pt-PT"/>
        </w:rPr>
        <w:drawing>
          <wp:inline distT="0" distB="0" distL="0" distR="0" wp14:anchorId="45B128C4" wp14:editId="628EA898">
            <wp:extent cx="7458075" cy="4972601"/>
            <wp:effectExtent l="133350" t="133350" r="142875" b="1714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8727" cy="497970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C7D3F2D" w14:textId="02460DAB" w:rsidR="00414B5A" w:rsidRDefault="00414B5A" w:rsidP="00414B5A">
      <w:pPr>
        <w:pStyle w:val="Cabealho1"/>
      </w:pPr>
      <w:bookmarkStart w:id="4" w:name="_Toc466561134"/>
      <w:r>
        <w:t>ASGARD components</w:t>
      </w:r>
      <w:bookmarkEnd w:id="4"/>
    </w:p>
    <w:p w14:paraId="3C2FD9C5" w14:textId="3A82879C" w:rsidR="00414B5A" w:rsidRPr="00414B5A" w:rsidRDefault="00414B5A" w:rsidP="00414B5A">
      <w:r>
        <w:rPr>
          <w:noProof/>
          <w:lang w:val="pt-PT" w:eastAsia="pt-PT"/>
        </w:rPr>
        <w:drawing>
          <wp:inline distT="0" distB="0" distL="0" distR="0" wp14:anchorId="3C994E94" wp14:editId="30501695">
            <wp:extent cx="8220075" cy="5095875"/>
            <wp:effectExtent l="133350" t="133350" r="142875" b="180975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095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14B5A" w:rsidRPr="00414B5A" w:rsidSect="00414B5A">
      <w:footerReference w:type="default" r:id="rId14"/>
      <w:pgSz w:w="16838" w:h="11906" w:orient="landscape"/>
      <w:pgMar w:top="1440" w:right="184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90563" w14:textId="77777777" w:rsidR="006B068E" w:rsidRDefault="006B068E" w:rsidP="00283620">
      <w:r>
        <w:separator/>
      </w:r>
    </w:p>
  </w:endnote>
  <w:endnote w:type="continuationSeparator" w:id="0">
    <w:p w14:paraId="09C238CA" w14:textId="77777777" w:rsidR="006B068E" w:rsidRDefault="006B068E" w:rsidP="0028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349" w:type="dxa"/>
      <w:tblInd w:w="-885" w:type="dxa"/>
      <w:tblBorders>
        <w:top w:val="single" w:sz="4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978"/>
      <w:gridCol w:w="2827"/>
    </w:tblGrid>
    <w:tr w:rsidR="00635DCC" w:rsidRPr="00B40D71" w14:paraId="443AFCEE" w14:textId="77777777" w:rsidTr="00635DCC">
      <w:tc>
        <w:tcPr>
          <w:tcW w:w="3544" w:type="dxa"/>
        </w:tcPr>
        <w:p w14:paraId="165BA64C" w14:textId="77777777" w:rsidR="00635DCC" w:rsidRPr="00B40D71" w:rsidRDefault="00635DCC" w:rsidP="00283620">
          <w:pPr>
            <w:pStyle w:val="Rodap"/>
            <w:rPr>
              <w:i/>
            </w:rPr>
          </w:pPr>
          <w:r w:rsidRPr="00B40D71">
            <w:rPr>
              <w:i/>
              <w:lang w:bidi="he-IL"/>
            </w:rPr>
            <w:t>Grant Agreement: 700381</w:t>
          </w:r>
        </w:p>
      </w:tc>
      <w:tc>
        <w:tcPr>
          <w:tcW w:w="3978" w:type="dxa"/>
        </w:tcPr>
        <w:p w14:paraId="5507653C" w14:textId="49087260" w:rsidR="00635DCC" w:rsidRPr="00B40D71" w:rsidRDefault="00635DCC" w:rsidP="0080325A">
          <w:pPr>
            <w:pStyle w:val="Rodap"/>
            <w:jc w:val="center"/>
            <w:rPr>
              <w:i/>
            </w:rPr>
          </w:pPr>
          <w:r w:rsidRPr="00B40D71">
            <w:rPr>
              <w:i/>
            </w:rPr>
            <w:t xml:space="preserve">DISSEMINATION-LEVEL </w:t>
          </w:r>
          <w:r w:rsidR="0080325A">
            <w:rPr>
              <w:i/>
            </w:rPr>
            <w:t>CONFIDENTIAL</w:t>
          </w:r>
        </w:p>
      </w:tc>
      <w:tc>
        <w:tcPr>
          <w:tcW w:w="2827" w:type="dxa"/>
        </w:tcPr>
        <w:p w14:paraId="17C38E68" w14:textId="7D9724BE" w:rsidR="00635DCC" w:rsidRPr="00B40D71" w:rsidRDefault="00635DCC" w:rsidP="00B40D71">
          <w:pPr>
            <w:pStyle w:val="Rodap"/>
            <w:jc w:val="right"/>
            <w:rPr>
              <w:i/>
            </w:rPr>
          </w:pPr>
          <w:r w:rsidRPr="00B40D71">
            <w:rPr>
              <w:i/>
            </w:rPr>
            <w:t xml:space="preserve">Page </w:t>
          </w:r>
          <w:r w:rsidRPr="00B40D71">
            <w:rPr>
              <w:i/>
              <w:szCs w:val="24"/>
            </w:rPr>
            <w:fldChar w:fldCharType="begin"/>
          </w:r>
          <w:r w:rsidRPr="00B40D71">
            <w:rPr>
              <w:i/>
            </w:rPr>
            <w:instrText xml:space="preserve"> PAGE </w:instrText>
          </w:r>
          <w:r w:rsidRPr="00B40D71">
            <w:rPr>
              <w:i/>
              <w:szCs w:val="24"/>
            </w:rPr>
            <w:fldChar w:fldCharType="separate"/>
          </w:r>
          <w:r w:rsidR="00E750FC">
            <w:rPr>
              <w:i/>
              <w:noProof/>
            </w:rPr>
            <w:t>1</w:t>
          </w:r>
          <w:r w:rsidRPr="00B40D71">
            <w:rPr>
              <w:i/>
              <w:szCs w:val="24"/>
            </w:rPr>
            <w:fldChar w:fldCharType="end"/>
          </w:r>
          <w:r w:rsidRPr="00B40D71">
            <w:rPr>
              <w:i/>
            </w:rPr>
            <w:t xml:space="preserve"> of </w:t>
          </w:r>
          <w:r w:rsidRPr="00B40D71">
            <w:rPr>
              <w:i/>
              <w:szCs w:val="24"/>
            </w:rPr>
            <w:fldChar w:fldCharType="begin"/>
          </w:r>
          <w:r w:rsidRPr="00B40D71">
            <w:rPr>
              <w:i/>
            </w:rPr>
            <w:instrText xml:space="preserve"> NUMPAGES  </w:instrText>
          </w:r>
          <w:r w:rsidRPr="00B40D71">
            <w:rPr>
              <w:i/>
              <w:szCs w:val="24"/>
            </w:rPr>
            <w:fldChar w:fldCharType="separate"/>
          </w:r>
          <w:r w:rsidR="00E750FC">
            <w:rPr>
              <w:i/>
              <w:noProof/>
            </w:rPr>
            <w:t>1</w:t>
          </w:r>
          <w:r w:rsidRPr="00B40D71">
            <w:rPr>
              <w:i/>
              <w:szCs w:val="24"/>
            </w:rPr>
            <w:fldChar w:fldCharType="end"/>
          </w:r>
        </w:p>
      </w:tc>
    </w:tr>
  </w:tbl>
  <w:p w14:paraId="26060570" w14:textId="77777777" w:rsidR="00635DCC" w:rsidRDefault="00635DCC" w:rsidP="002836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4432" w:type="dxa"/>
      <w:tblInd w:w="-885" w:type="dxa"/>
      <w:tblBorders>
        <w:top w:val="single" w:sz="4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2"/>
      <w:gridCol w:w="5548"/>
      <w:gridCol w:w="3942"/>
    </w:tblGrid>
    <w:tr w:rsidR="00414B5A" w:rsidRPr="00B40D71" w14:paraId="58660EAC" w14:textId="77777777" w:rsidTr="00414B5A">
      <w:trPr>
        <w:trHeight w:val="269"/>
      </w:trPr>
      <w:tc>
        <w:tcPr>
          <w:tcW w:w="4942" w:type="dxa"/>
        </w:tcPr>
        <w:p w14:paraId="4DAB5F7F" w14:textId="77777777" w:rsidR="00414B5A" w:rsidRPr="00B40D71" w:rsidRDefault="00414B5A" w:rsidP="00283620">
          <w:pPr>
            <w:pStyle w:val="Rodap"/>
            <w:rPr>
              <w:i/>
            </w:rPr>
          </w:pPr>
          <w:r w:rsidRPr="00B40D71">
            <w:rPr>
              <w:i/>
              <w:lang w:bidi="he-IL"/>
            </w:rPr>
            <w:t>Grant Agreement: 700381</w:t>
          </w:r>
        </w:p>
      </w:tc>
      <w:tc>
        <w:tcPr>
          <w:tcW w:w="5548" w:type="dxa"/>
        </w:tcPr>
        <w:p w14:paraId="427B75C3" w14:textId="5E9D7823" w:rsidR="00414B5A" w:rsidRPr="00B40D71" w:rsidRDefault="00414B5A" w:rsidP="0080325A">
          <w:pPr>
            <w:pStyle w:val="Rodap"/>
            <w:jc w:val="center"/>
            <w:rPr>
              <w:i/>
            </w:rPr>
          </w:pPr>
          <w:r w:rsidRPr="00B40D71">
            <w:rPr>
              <w:i/>
            </w:rPr>
            <w:t xml:space="preserve">DISSEMINATION-LEVEL </w:t>
          </w:r>
          <w:r w:rsidR="0080325A">
            <w:rPr>
              <w:i/>
            </w:rPr>
            <w:t>CONFIDENTIAL</w:t>
          </w:r>
        </w:p>
      </w:tc>
      <w:tc>
        <w:tcPr>
          <w:tcW w:w="3942" w:type="dxa"/>
        </w:tcPr>
        <w:p w14:paraId="15617F87" w14:textId="237A704A" w:rsidR="00414B5A" w:rsidRPr="00B40D71" w:rsidRDefault="00414B5A" w:rsidP="00B40D71">
          <w:pPr>
            <w:pStyle w:val="Rodap"/>
            <w:jc w:val="right"/>
            <w:rPr>
              <w:i/>
            </w:rPr>
          </w:pPr>
          <w:r w:rsidRPr="00B40D71">
            <w:rPr>
              <w:i/>
            </w:rPr>
            <w:t xml:space="preserve">Page </w:t>
          </w:r>
          <w:r w:rsidRPr="00B40D71">
            <w:rPr>
              <w:i/>
              <w:szCs w:val="24"/>
            </w:rPr>
            <w:fldChar w:fldCharType="begin"/>
          </w:r>
          <w:r w:rsidRPr="00B40D71">
            <w:rPr>
              <w:i/>
            </w:rPr>
            <w:instrText xml:space="preserve"> PAGE </w:instrText>
          </w:r>
          <w:r w:rsidRPr="00B40D71">
            <w:rPr>
              <w:i/>
              <w:szCs w:val="24"/>
            </w:rPr>
            <w:fldChar w:fldCharType="separate"/>
          </w:r>
          <w:r w:rsidR="0080325A">
            <w:rPr>
              <w:i/>
              <w:noProof/>
            </w:rPr>
            <w:t>4</w:t>
          </w:r>
          <w:r w:rsidRPr="00B40D71">
            <w:rPr>
              <w:i/>
              <w:szCs w:val="24"/>
            </w:rPr>
            <w:fldChar w:fldCharType="end"/>
          </w:r>
          <w:r w:rsidRPr="00B40D71">
            <w:rPr>
              <w:i/>
            </w:rPr>
            <w:t xml:space="preserve"> of </w:t>
          </w:r>
          <w:r w:rsidRPr="00B40D71">
            <w:rPr>
              <w:i/>
              <w:szCs w:val="24"/>
            </w:rPr>
            <w:fldChar w:fldCharType="begin"/>
          </w:r>
          <w:r w:rsidRPr="00B40D71">
            <w:rPr>
              <w:i/>
            </w:rPr>
            <w:instrText xml:space="preserve"> NUMPAGES  </w:instrText>
          </w:r>
          <w:r w:rsidRPr="00B40D71">
            <w:rPr>
              <w:i/>
              <w:szCs w:val="24"/>
            </w:rPr>
            <w:fldChar w:fldCharType="separate"/>
          </w:r>
          <w:r w:rsidR="0080325A">
            <w:rPr>
              <w:i/>
              <w:noProof/>
            </w:rPr>
            <w:t>5</w:t>
          </w:r>
          <w:r w:rsidRPr="00B40D71">
            <w:rPr>
              <w:i/>
              <w:szCs w:val="24"/>
            </w:rPr>
            <w:fldChar w:fldCharType="end"/>
          </w:r>
        </w:p>
      </w:tc>
    </w:tr>
  </w:tbl>
  <w:p w14:paraId="5E4DB1E7" w14:textId="77777777" w:rsidR="00414B5A" w:rsidRDefault="00414B5A" w:rsidP="002836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1F061" w14:textId="77777777" w:rsidR="006B068E" w:rsidRDefault="006B068E" w:rsidP="00283620">
      <w:r>
        <w:separator/>
      </w:r>
    </w:p>
  </w:footnote>
  <w:footnote w:type="continuationSeparator" w:id="0">
    <w:p w14:paraId="071702F3" w14:textId="77777777" w:rsidR="006B068E" w:rsidRDefault="006B068E" w:rsidP="0028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E6AD5" w14:textId="77777777" w:rsidR="00BB6655" w:rsidRDefault="00BB6655" w:rsidP="00283620">
    <w:pPr>
      <w:pStyle w:val="Cabealho"/>
    </w:pPr>
  </w:p>
  <w:p w14:paraId="42356916" w14:textId="236D920F" w:rsidR="00635DCC" w:rsidRPr="00B40D71" w:rsidRDefault="00635DCC" w:rsidP="00B40D71">
    <w:pPr>
      <w:pStyle w:val="Cabealho"/>
      <w:jc w:val="right"/>
      <w:rPr>
        <w:i/>
      </w:rPr>
    </w:pPr>
    <w:r w:rsidRPr="00B40D71">
      <w:rPr>
        <w:i/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7E4547B3" wp14:editId="3FD943C2">
          <wp:simplePos x="0" y="0"/>
          <wp:positionH relativeFrom="column">
            <wp:posOffset>-295275</wp:posOffset>
          </wp:positionH>
          <wp:positionV relativeFrom="page">
            <wp:posOffset>266700</wp:posOffset>
          </wp:positionV>
          <wp:extent cx="752475" cy="752475"/>
          <wp:effectExtent l="0" t="0" r="0" b="0"/>
          <wp:wrapSquare wrapText="bothSides"/>
          <wp:docPr id="13" name="Picture 13" descr="C:\Users\jarraiza\AppData\Local\Temp\Temp1_ASGARD_LOGOS.zip\ASGARDNewTx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raiza\AppData\Local\Temp\Temp1_ASGARD_LOGOS.zip\ASGARDNewTxik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B5A">
      <w:rPr>
        <w:i/>
      </w:rPr>
      <w:t>Project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7C3A"/>
    <w:multiLevelType w:val="hybridMultilevel"/>
    <w:tmpl w:val="15A00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624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971310"/>
    <w:multiLevelType w:val="multilevel"/>
    <w:tmpl w:val="F2BE0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abealho2"/>
      <w:lvlText w:val="%1.%2."/>
      <w:lvlJc w:val="left"/>
      <w:pPr>
        <w:ind w:left="792" w:hanging="432"/>
      </w:pPr>
    </w:lvl>
    <w:lvl w:ilvl="2">
      <w:start w:val="1"/>
      <w:numFmt w:val="decimal"/>
      <w:pStyle w:val="Cabealh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1D319E"/>
    <w:multiLevelType w:val="multilevel"/>
    <w:tmpl w:val="88CC9B92"/>
    <w:lvl w:ilvl="0">
      <w:start w:val="1"/>
      <w:numFmt w:val="decimal"/>
      <w:pStyle w:val="Cabealh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3A14DD"/>
    <w:multiLevelType w:val="hybridMultilevel"/>
    <w:tmpl w:val="64C8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03D7E"/>
    <w:multiLevelType w:val="hybridMultilevel"/>
    <w:tmpl w:val="B33230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26B68"/>
    <w:multiLevelType w:val="hybridMultilevel"/>
    <w:tmpl w:val="336E48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AD"/>
    <w:rsid w:val="0021536B"/>
    <w:rsid w:val="00283620"/>
    <w:rsid w:val="002D1051"/>
    <w:rsid w:val="002F2E99"/>
    <w:rsid w:val="00414B5A"/>
    <w:rsid w:val="00494899"/>
    <w:rsid w:val="005272AD"/>
    <w:rsid w:val="00635DCC"/>
    <w:rsid w:val="00665D0A"/>
    <w:rsid w:val="006B068E"/>
    <w:rsid w:val="00742F22"/>
    <w:rsid w:val="0080325A"/>
    <w:rsid w:val="00822E2A"/>
    <w:rsid w:val="00831F6C"/>
    <w:rsid w:val="00A22D5B"/>
    <w:rsid w:val="00AA61DA"/>
    <w:rsid w:val="00B40D71"/>
    <w:rsid w:val="00BB6655"/>
    <w:rsid w:val="00CA0F80"/>
    <w:rsid w:val="00E2612E"/>
    <w:rsid w:val="00E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EF191C"/>
  <w15:chartTrackingRefBased/>
  <w15:docId w15:val="{1AB421D9-B220-4AE8-829B-8EE50CD9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20"/>
    <w:pPr>
      <w:jc w:val="both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2F2E9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F2E9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836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3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5DCC"/>
  </w:style>
  <w:style w:type="paragraph" w:styleId="Rodap">
    <w:name w:val="footer"/>
    <w:basedOn w:val="Normal"/>
    <w:link w:val="RodapCarter"/>
    <w:uiPriority w:val="99"/>
    <w:unhideWhenUsed/>
    <w:rsid w:val="0063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5DCC"/>
  </w:style>
  <w:style w:type="table" w:styleId="Tabelacomgrelha">
    <w:name w:val="Table Grid"/>
    <w:basedOn w:val="Tabelanormal"/>
    <w:uiPriority w:val="59"/>
    <w:rsid w:val="0063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F2E99"/>
    <w:rPr>
      <w:rFonts w:asciiTheme="majorHAnsi" w:eastAsiaTheme="majorEastAsia" w:hAnsiTheme="majorHAnsi" w:cstheme="majorBidi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rsid w:val="00BB66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B6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F2E99"/>
    <w:rPr>
      <w:rFonts w:asciiTheme="majorHAnsi" w:eastAsiaTheme="majorEastAsia" w:hAnsiTheme="majorHAnsi" w:cstheme="majorBidi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83620"/>
    <w:rPr>
      <w:rFonts w:asciiTheme="majorHAnsi" w:eastAsiaTheme="majorEastAsia" w:hAnsiTheme="majorHAnsi" w:cstheme="majorBidi"/>
      <w:sz w:val="24"/>
      <w:szCs w:val="24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E2612E"/>
    <w:pPr>
      <w:numPr>
        <w:numId w:val="0"/>
      </w:numPr>
      <w:outlineLvl w:val="9"/>
    </w:pPr>
    <w:rPr>
      <w:color w:val="2E74B5" w:themeColor="accent1" w:themeShade="BF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E2612E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2612E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E2612E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E2612E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283620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aliases w:val="Viñetas (Inicio Parrafo),Listenabsatz,3 Txt tabla,Paragrafo elenco,Task Body,Paragraphe de liste,Bullets_normal,1st level - Bullet List Paragraph,Lettre d'introduction"/>
    <w:basedOn w:val="Normal"/>
    <w:link w:val="PargrafodaListaCarter"/>
    <w:uiPriority w:val="34"/>
    <w:qFormat/>
    <w:rsid w:val="00414B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character" w:customStyle="1" w:styleId="PargrafodaListaCarter">
    <w:name w:val="Parágrafo da Lista Caráter"/>
    <w:aliases w:val="Viñetas (Inicio Parrafo) Caráter,Listenabsatz Caráter,3 Txt tabla Caráter,Paragrafo elenco Caráter,Task Body Caráter,Paragraphe de liste Caráter,Bullets_normal Caráter,1st level - Bullet List Paragraph Caráter"/>
    <w:link w:val="PargrafodaLista"/>
    <w:uiPriority w:val="34"/>
    <w:rsid w:val="00414B5A"/>
    <w:rPr>
      <w:rFonts w:ascii="Calibri" w:eastAsia="Times New Roman" w:hAnsi="Calibri" w:cs="Times New Roman"/>
      <w:lang w:eastAsia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5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584A-B02A-4D50-8262-F393DE93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3703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Vicomtech-IK4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Arraiza</dc:creator>
  <cp:keywords/>
  <dc:description/>
  <cp:lastModifiedBy>Paula Gois</cp:lastModifiedBy>
  <cp:revision>2</cp:revision>
  <dcterms:created xsi:type="dcterms:W3CDTF">2017-10-02T10:44:00Z</dcterms:created>
  <dcterms:modified xsi:type="dcterms:W3CDTF">2017-10-02T10:44:00Z</dcterms:modified>
</cp:coreProperties>
</file>